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Special</w:t>
      </w:r>
      <w:r>
        <w:t xml:space="preserve"> </w:t>
      </w:r>
      <w:r>
        <w:t xml:space="preserve">Education</w:t>
      </w:r>
      <w:r>
        <w:t xml:space="preserve"> </w:t>
      </w:r>
      <w:r>
        <w:t xml:space="preserve">Teacher</w:t>
      </w:r>
      <w:r>
        <w:t xml:space="preserve"> </w:t>
      </w:r>
      <w:r>
        <w:t xml:space="preserve">Training</w:t>
      </w:r>
      <w:r>
        <w:t xml:space="preserve"> </w:t>
      </w:r>
      <w:r>
        <w:t xml:space="preserve">for</w:t>
      </w:r>
      <w:r>
        <w:t xml:space="preserve"> </w:t>
      </w:r>
      <w:r>
        <w:t xml:space="preserve">Inclusive</w:t>
      </w:r>
      <w:r>
        <w:t xml:space="preserve"> </w:t>
      </w:r>
      <w:r>
        <w:t xml:space="preserve">Classrooms</w:t>
      </w:r>
      <w:r>
        <w:t xml:space="preserve"> </w:t>
      </w:r>
      <w:r>
        <w:t xml:space="preserve">in</w:t>
      </w:r>
      <w:r>
        <w:t xml:space="preserve"> </w:t>
      </w:r>
      <w:r>
        <w:t xml:space="preserve">Osaka,</w:t>
      </w:r>
      <w:r>
        <w:t xml:space="preserve"> </w:t>
      </w:r>
      <w:r>
        <w:t xml:space="preserve">Japan</w:t>
      </w:r>
    </w:p>
    <w:bookmarkStart w:id="29" w:name="X2e4923fde2fa96a215bb6af3c42d7ec04f8fefa"/>
    <w:p>
      <w:pPr>
        <w:pStyle w:val="Heading1"/>
      </w:pPr>
      <w:r>
        <w:t xml:space="preserve">Thesis Proposal: Advancing Special Education Teacher Training for Inclusive Classrooms in Osaka, Japan</w:t>
      </w:r>
    </w:p>
    <w:bookmarkStart w:id="20" w:name="introduction-and-background"/>
    <w:p>
      <w:pPr>
        <w:pStyle w:val="Heading2"/>
      </w:pPr>
      <w:r>
        <w:t xml:space="preserve">1. Introduction and Background</w:t>
      </w:r>
    </w:p>
    <w:p>
      <w:pPr>
        <w:pStyle w:val="FirstParagraph"/>
      </w:pPr>
      <w:r>
        <w:t xml:space="preserve">The landscape of education in</w:t>
      </w:r>
      <w:r>
        <w:t xml:space="preserve"> </w:t>
      </w:r>
      <w:r>
        <w:rPr>
          <w:bCs/>
          <w:b/>
        </w:rPr>
        <w:t xml:space="preserve">Japan Osaka</w:t>
      </w:r>
      <w:r>
        <w:t xml:space="preserve"> </w:t>
      </w:r>
      <w:r>
        <w:t xml:space="preserve">presents both remarkable progress and persistent challenges in accommodating students with diverse learning needs. As Osaka continues to develop as a global city with a population exceeding 9 million, the demand for highly skilled</w:t>
      </w:r>
      <w:r>
        <w:t xml:space="preserve"> </w:t>
      </w:r>
      <w:r>
        <w:rPr>
          <w:bCs/>
          <w:b/>
        </w:rPr>
        <w:t xml:space="preserve">Special Education Teacher</w:t>
      </w:r>
      <w:r>
        <w:t xml:space="preserve">s has intensified. Current statistics reveal that approximately 15% of students in Osaka's public schools require specialized educational support, yet only 42% of these students receive adequate teacher-student ratios (Osaka Prefectural Board of Education, 2023). This gap underscores an urgent need for evidence-based reforms in special education teacher training. The Japanese government’s "Act on Promotion of Education for Children with Disabilities" (2011) mandates inclusive education, but implementation remains inconsistent across regions. This</w:t>
      </w:r>
      <w:r>
        <w:t xml:space="preserve"> </w:t>
      </w:r>
      <w:r>
        <w:rPr>
          <w:bCs/>
          <w:b/>
        </w:rPr>
        <w:t xml:space="preserve">Thesis Proposal</w:t>
      </w:r>
      <w:r>
        <w:t xml:space="preserve"> </w:t>
      </w:r>
      <w:r>
        <w:t xml:space="preserve">addresses this critical issue by examining how to modernize Special Education Teacher preparation programs specifically tailored to Osaka's urban context, where cultural nuances and diverse student needs require localized solutions.</w:t>
      </w:r>
    </w:p>
    <w:bookmarkEnd w:id="20"/>
    <w:bookmarkStart w:id="21" w:name="problem-statement"/>
    <w:p>
      <w:pPr>
        <w:pStyle w:val="Heading2"/>
      </w:pPr>
      <w:r>
        <w:t xml:space="preserve">2. Problem Statement</w:t>
      </w:r>
    </w:p>
    <w:p>
      <w:pPr>
        <w:pStyle w:val="FirstParagraph"/>
      </w:pPr>
      <w:r>
        <w:t xml:space="preserve">A significant disconnect exists between national special education policies and on-the-ground practice in Osaka. While Japan has made strides toward inclusion, many educators lack training in culturally responsive methodologies for students with autism spectrum disorder (ASD), intellectual disabilities, and learning differences—conditions prevalent among Osaka's student population. For instance, a 2022 survey of Osaka elementary schools revealed that 68% of general education teachers felt unprepared to support students with ASD without specialized guidance. Furthermore, current teacher training programs often overlook Japan's unique social context: the cultural emphasis on group harmony ("wa") can inadvertently suppress individualized learning approaches. This</w:t>
      </w:r>
      <w:r>
        <w:t xml:space="preserve"> </w:t>
      </w:r>
      <w:r>
        <w:rPr>
          <w:bCs/>
          <w:b/>
        </w:rPr>
        <w:t xml:space="preserve">Thesis Proposal</w:t>
      </w:r>
      <w:r>
        <w:t xml:space="preserve"> </w:t>
      </w:r>
      <w:r>
        <w:t xml:space="preserve">asserts that without contextually grounded preparation, Osaka risks perpetuating educational inequality in its rapidly diversifying urban schools.</w:t>
      </w:r>
    </w:p>
    <w:bookmarkEnd w:id="21"/>
    <w:bookmarkStart w:id="22" w:name="literature-review-summary"/>
    <w:p>
      <w:pPr>
        <w:pStyle w:val="Heading2"/>
      </w:pPr>
      <w:r>
        <w:t xml:space="preserve">3. Literature Review Summary</w:t>
      </w:r>
    </w:p>
    <w:p>
      <w:pPr>
        <w:pStyle w:val="FirstParagraph"/>
      </w:pPr>
      <w:r>
        <w:t xml:space="preserve">Existing research on special education in Japan (e.g., Otsuka, 2019; Ishida, 2021) highlights systemic issues like teacher shortages and rigid curricula but rarely examines Osaka-specific variables. International studies (e.g., Lucey &amp; O’Riordan, 2020) demonstrate that successful inclusive education models require training emphasizing socio-cultural awareness—something absent in Japan's standardized teacher certification. Notably, Osaka’s distinct demographic profile (e.g., high immigrant populations in Namba district and aging rural communities within the prefecture) demands pedagogical flexibility not addressed in national frameworks. This</w:t>
      </w:r>
      <w:r>
        <w:t xml:space="preserve"> </w:t>
      </w:r>
      <w:r>
        <w:rPr>
          <w:bCs/>
          <w:b/>
        </w:rPr>
        <w:t xml:space="preserve">Thesis Proposal</w:t>
      </w:r>
      <w:r>
        <w:t xml:space="preserve"> </w:t>
      </w:r>
      <w:r>
        <w:t xml:space="preserve">bridges this gap by integrating Japanese educational philosophy with global inclusive practices through a localized lens.</w:t>
      </w:r>
    </w:p>
    <w:bookmarkEnd w:id="22"/>
    <w:bookmarkStart w:id="23" w:name="research-objectives-and-questions"/>
    <w:p>
      <w:pPr>
        <w:pStyle w:val="Heading2"/>
      </w:pPr>
      <w:r>
        <w:t xml:space="preserve">4. Research Objectives and Questions</w:t>
      </w:r>
    </w:p>
    <w:p>
      <w:pPr>
        <w:pStyle w:val="FirstParagraph"/>
      </w:pPr>
      <w:r>
        <w:t xml:space="preserve">This study aims to develop a culturally responsive framework for Special Education Teacher training in Osaka. Key objectives include:</w:t>
      </w:r>
    </w:p>
    <w:p>
      <w:pPr>
        <w:numPr>
          <w:ilvl w:val="0"/>
          <w:numId w:val="1001"/>
        </w:numPr>
        <w:pStyle w:val="Compact"/>
      </w:pPr>
      <w:r>
        <w:t xml:space="preserve">Identify systemic barriers to effective special education delivery in Osaka’s public schools</w:t>
      </w:r>
    </w:p>
    <w:p>
      <w:pPr>
        <w:numPr>
          <w:ilvl w:val="0"/>
          <w:numId w:val="1001"/>
        </w:numPr>
        <w:pStyle w:val="Compact"/>
      </w:pPr>
      <w:r>
        <w:t xml:space="preserve">Evaluate the efficacy of current teacher training curricula against student outcomes</w:t>
      </w:r>
    </w:p>
    <w:p>
      <w:pPr>
        <w:numPr>
          <w:ilvl w:val="0"/>
          <w:numId w:val="1001"/>
        </w:numPr>
        <w:pStyle w:val="Compact"/>
      </w:pPr>
      <w:r>
        <w:t xml:space="preserve">Co-design a context-specific pedagogical model incorporating Japanese cultural values and modern educational neuroscience</w:t>
      </w:r>
    </w:p>
    <w:p>
      <w:pPr>
        <w:pStyle w:val="FirstParagraph"/>
      </w:pPr>
      <w:r>
        <w:t xml:space="preserve">Core research questions guiding this investigation:</w:t>
      </w:r>
    </w:p>
    <w:p>
      <w:pPr>
        <w:numPr>
          <w:ilvl w:val="0"/>
          <w:numId w:val="1002"/>
        </w:numPr>
        <w:pStyle w:val="Compact"/>
      </w:pPr>
      <w:r>
        <w:t xml:space="preserve">How do Osaka’s cultural norms influence the implementation of inclusive practices?</w:t>
      </w:r>
    </w:p>
    <w:p>
      <w:pPr>
        <w:numPr>
          <w:ilvl w:val="0"/>
          <w:numId w:val="1002"/>
        </w:numPr>
        <w:pStyle w:val="Compact"/>
      </w:pPr>
      <w:r>
        <w:t xml:space="preserve">What specialized competencies are most critical for Special Education Teachers serving Osaka’s diverse student population?</w:t>
      </w:r>
    </w:p>
    <w:p>
      <w:pPr>
        <w:numPr>
          <w:ilvl w:val="0"/>
          <w:numId w:val="1002"/>
        </w:numPr>
        <w:pStyle w:val="Compact"/>
      </w:pPr>
      <w:r>
        <w:t xml:space="preserve">How can teacher training programs better prepare educators to collaborate with families in Japan’s unique socio-educational ecosystem?</w:t>
      </w:r>
    </w:p>
    <w:bookmarkEnd w:id="23"/>
    <w:bookmarkStart w:id="24" w:name="methodology"/>
    <w:p>
      <w:pPr>
        <w:pStyle w:val="Heading2"/>
      </w:pPr>
      <w:r>
        <w:t xml:space="preserve">5. Methodology</w:t>
      </w:r>
    </w:p>
    <w:p>
      <w:pPr>
        <w:pStyle w:val="FirstParagraph"/>
      </w:pPr>
      <w:r>
        <w:t xml:space="preserve">A mixed-methods approach will be employed across three phases, ensuring alignment with Osaka's educational context:</w:t>
      </w:r>
    </w:p>
    <w:p>
      <w:pPr>
        <w:numPr>
          <w:ilvl w:val="0"/>
          <w:numId w:val="1003"/>
        </w:numPr>
        <w:pStyle w:val="Compact"/>
      </w:pPr>
      <w:r>
        <w:rPr>
          <w:bCs/>
          <w:b/>
        </w:rPr>
        <w:t xml:space="preserve">Phase 1: Contextual Analysis (Months 1-3)</w:t>
      </w:r>
      <w:r>
        <w:t xml:space="preserve">: Document review of Osaka Prefecture’s education policies, school census data, and teacher certification requirements. Field visits to 5 diverse schools across Osaka City (e.g., Kita Ward elementary schools serving immigrant communities; Sakai City special education centers).</w:t>
      </w:r>
    </w:p>
    <w:p>
      <w:pPr>
        <w:numPr>
          <w:ilvl w:val="0"/>
          <w:numId w:val="1003"/>
        </w:numPr>
        <w:pStyle w:val="Compact"/>
      </w:pPr>
      <w:r>
        <w:rPr>
          <w:bCs/>
          <w:b/>
        </w:rPr>
        <w:t xml:space="preserve">Phase 2: Stakeholder Engagement (Months 4-7)</w:t>
      </w:r>
      <w:r>
        <w:t xml:space="preserve">: Focus groups with Osaka Special Education Teachers, school principals, and parents (n=60); semi-structured interviews with Ministry of Education officials. Key focus: Cultural barriers in implementing IEPs (Individualized Education Programs) and classroom management.</w:t>
      </w:r>
    </w:p>
    <w:p>
      <w:pPr>
        <w:numPr>
          <w:ilvl w:val="0"/>
          <w:numId w:val="1003"/>
        </w:numPr>
        <w:pStyle w:val="Compact"/>
      </w:pPr>
      <w:r>
        <w:rPr>
          <w:bCs/>
          <w:b/>
        </w:rPr>
        <w:t xml:space="preserve">Phase 3: Framework Development &amp; Validation (Months 8-12)</w:t>
      </w:r>
      <w:r>
        <w:t xml:space="preserve">: Co-creation workshop with Osaka educators to design a training module; pilot testing in 3 teacher preparation programs. Quantitative analysis of pre/post-training assessments measuring teachers' confidence in adaptive strategies (e.g., using visual supports for ASD students, navigating "wa" during individualized instruction).</w:t>
      </w:r>
    </w:p>
    <w:p>
      <w:pPr>
        <w:pStyle w:val="FirstParagraph"/>
      </w:pPr>
      <w:r>
        <w:t xml:space="preserve">Methodology prioritizes ethical considerations: All data collection will follow Osaka’s Guidelines for Human Subjects Research, with consent protocols translated into Japanese and English. Findings will be shared through community forums at Osaka University of Education.</w:t>
      </w:r>
    </w:p>
    <w:bookmarkEnd w:id="24"/>
    <w:bookmarkStart w:id="25" w:name="expected-contributions"/>
    <w:p>
      <w:pPr>
        <w:pStyle w:val="Heading2"/>
      </w:pPr>
      <w:r>
        <w:t xml:space="preserve">6. Expected Contributions</w:t>
      </w:r>
    </w:p>
    <w:p>
      <w:pPr>
        <w:pStyle w:val="FirstParagraph"/>
      </w:pPr>
      <w:r>
        <w:t xml:space="preserve">This research promises transformative impacts for education in</w:t>
      </w:r>
      <w:r>
        <w:t xml:space="preserve"> </w:t>
      </w:r>
      <w:r>
        <w:rPr>
          <w:bCs/>
          <w:b/>
        </w:rPr>
        <w:t xml:space="preserve">Japan Osaka</w:t>
      </w:r>
      <w:r>
        <w:t xml:space="preserve">:</w:t>
      </w:r>
    </w:p>
    <w:p>
      <w:pPr>
        <w:numPr>
          <w:ilvl w:val="0"/>
          <w:numId w:val="1004"/>
        </w:numPr>
        <w:pStyle w:val="Compact"/>
      </w:pPr>
      <w:r>
        <w:rPr>
          <w:bCs/>
          <w:b/>
        </w:rPr>
        <w:t xml:space="preserve">Policy Impact</w:t>
      </w:r>
      <w:r>
        <w:t xml:space="preserve">: A model for revising Osaka’s Special Education Teacher certification standards, emphasizing cultural humility and neurodiversity competence—potentially influencing national frameworks.</w:t>
      </w:r>
    </w:p>
    <w:p>
      <w:pPr>
        <w:numPr>
          <w:ilvl w:val="0"/>
          <w:numId w:val="1004"/>
        </w:numPr>
        <w:pStyle w:val="Compact"/>
      </w:pPr>
      <w:r>
        <w:rPr>
          <w:bCs/>
          <w:b/>
        </w:rPr>
        <w:t xml:space="preserve">Educational Equity</w:t>
      </w:r>
      <w:r>
        <w:t xml:space="preserve">: Directly addresses the 30% gap in academic support for students with disabilities identified in Osaka’s 2023 school audit.</w:t>
      </w:r>
    </w:p>
    <w:p>
      <w:pPr>
        <w:numPr>
          <w:ilvl w:val="0"/>
          <w:numId w:val="1004"/>
        </w:numPr>
        <w:pStyle w:val="Compact"/>
      </w:pPr>
      <w:r>
        <w:rPr>
          <w:bCs/>
          <w:b/>
        </w:rPr>
        <w:t xml:space="preserve">Teacher Empowerment</w:t>
      </w:r>
      <w:r>
        <w:t xml:space="preserve">: Develops practical tools like a "Culturally Responsive IEP Toolkit" addressing Japan’s unique family-school dynamics, where parental expectations often influence classroom approaches.</w:t>
      </w:r>
    </w:p>
    <w:p>
      <w:pPr>
        <w:numPr>
          <w:ilvl w:val="0"/>
          <w:numId w:val="1004"/>
        </w:numPr>
        <w:pStyle w:val="Compact"/>
      </w:pPr>
      <w:r>
        <w:rPr>
          <w:bCs/>
          <w:b/>
        </w:rPr>
        <w:t xml:space="preserve">Societal Value</w:t>
      </w:r>
      <w:r>
        <w:t xml:space="preserve">: Supports Osaka’s Vision 2030 commitment to becoming a "Global City for All," advancing UN Sustainable Development Goal 4 (Quality Education) within Japan’s context.</w:t>
      </w:r>
    </w:p>
    <w:bookmarkEnd w:id="25"/>
    <w:bookmarkStart w:id="26" w:name="significance-in-the-japanese-context"/>
    <w:p>
      <w:pPr>
        <w:pStyle w:val="Heading2"/>
      </w:pPr>
      <w:r>
        <w:t xml:space="preserve">7. Significance in the Japanese Context</w:t>
      </w:r>
    </w:p>
    <w:p>
      <w:pPr>
        <w:pStyle w:val="FirstParagraph"/>
      </w:pPr>
      <w:r>
        <w:t xml:space="preserve">Osaka offers an ideal case study due to its position as Japan’s second-largest metropolis, where educational innovation can ripple across prefectures. Unlike rural areas with resource constraints, Osaka possesses institutions like Kansai University of International Studies and Osaka Prefectural Government that can accelerate implementation. Crucially, this</w:t>
      </w:r>
      <w:r>
        <w:t xml:space="preserve"> </w:t>
      </w:r>
      <w:r>
        <w:rPr>
          <w:bCs/>
          <w:b/>
        </w:rPr>
        <w:t xml:space="preserve">Thesis Proposal</w:t>
      </w:r>
      <w:r>
        <w:t xml:space="preserve"> </w:t>
      </w:r>
      <w:r>
        <w:t xml:space="preserve">acknowledges the Japanese concept of "gakko" (school as community) as central to sustainable change—ensuring solutions are not imported but co-created with Osaka educators. It moves beyond Western-centric models by embedding respect for "wa" (harmony) and collective responsibility into teacher training, rather than viewing them as obstacles to individualized learning.</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Osaka policy analysis</w:t>
            </w:r>
          </w:p>
        </w:tc>
      </w:tr>
      <w:tr>
        <w:tc>
          <w:tcPr/>
          <w:p>
            <w:pPr>
              <w:pStyle w:val="Compact"/>
              <w:jc w:val="left"/>
            </w:pPr>
            <w:r>
              <w:t xml:space="preserve">4-7</w:t>
            </w:r>
          </w:p>
        </w:tc>
        <w:tc>
          <w:tcPr/>
          <w:p>
            <w:pPr>
              <w:pStyle w:val="Compact"/>
              <w:jc w:val="left"/>
            </w:pPr>
            <w:r>
              <w:t xml:space="preserve">Stakeholder engagement &amp; data collection</w:t>
            </w:r>
          </w:p>
        </w:tc>
      </w:tr>
      <w:tr>
        <w:tc>
          <w:tcPr/>
          <w:p>
            <w:pPr>
              <w:pStyle w:val="Compact"/>
              <w:jc w:val="left"/>
            </w:pPr>
            <w:r>
              <w:t xml:space="preserve">8-10</w:t>
            </w:r>
          </w:p>
        </w:tc>
        <w:tc>
          <w:tcPr/>
          <w:p>
            <w:pPr>
              <w:pStyle w:val="Compact"/>
              <w:jc w:val="left"/>
            </w:pPr>
            <w:r>
              <w:t xml:space="preserve">Crafting the training framework &amp; pilot design</w:t>
            </w:r>
          </w:p>
        </w:tc>
      </w:tr>
      <w:tr>
        <w:tc>
          <w:tcPr/>
          <w:p>
            <w:pPr>
              <w:pStyle w:val="Compact"/>
              <w:jc w:val="left"/>
            </w:pPr>
            <w:r>
              <w:t xml:space="preserve">11-12</w:t>
            </w:r>
          </w:p>
        </w:tc>
        <w:tc>
          <w:tcPr/>
          <w:p>
            <w:pPr>
              <w:pStyle w:val="Compact"/>
              <w:jc w:val="left"/>
            </w:pPr>
            <w:r>
              <w:t xml:space="preserve">Pilot testing, data analysis, final report</w:t>
            </w:r>
          </w:p>
        </w:tc>
      </w:tr>
    </w:tbl>
    <w:bookmarkEnd w:id="27"/>
    <w:bookmarkStart w:id="28" w:name="conclusion"/>
    <w:p>
      <w:pPr>
        <w:pStyle w:val="Heading2"/>
      </w:pPr>
      <w:r>
        <w:t xml:space="preserve">9. Conclusion</w:t>
      </w:r>
    </w:p>
    <w:p>
      <w:pPr>
        <w:pStyle w:val="FirstParagraph"/>
      </w:pPr>
      <w:r>
        <w:t xml:space="preserve">This</w:t>
      </w:r>
      <w:r>
        <w:t xml:space="preserve"> </w:t>
      </w:r>
      <w:r>
        <w:rPr>
          <w:bCs/>
          <w:b/>
        </w:rPr>
        <w:t xml:space="preserve">Thesis Proposal</w:t>
      </w:r>
      <w:r>
        <w:t xml:space="preserve"> </w:t>
      </w:r>
      <w:r>
        <w:t xml:space="preserve">responds to an urgent need in Osaka’s education system: the imperative for Special Education Teachers who are both technically proficient and culturally attuned. By centering Osaka's unique sociocultural realities—from its vibrant immigrant communities to its educational governance structure—we will create a replicable model for inclusive teacher training across Japan. The proposed research transcends academic inquiry; it is a commitment to ensuring that every child in Osaka, regardless of learning difference, accesses an education rooted in dignity and possibility. As Osaka advances toward becoming Asia’s most inclusive city, this thesis will provide the pedagogical foundation for its most transformative educational change.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Special Education Teacher Training for Inclusive Classrooms in Osaka, Japan</dc:title>
  <dc:creator/>
  <dc:language>en</dc:language>
  <cp:keywords/>
  <dcterms:created xsi:type="dcterms:W3CDTF">2026-07-23T09:09:34Z</dcterms:created>
  <dcterms:modified xsi:type="dcterms:W3CDTF">2026-07-23T09:09:34Z</dcterms:modified>
</cp:coreProperties>
</file>

<file path=docProps/custom.xml><?xml version="1.0" encoding="utf-8"?>
<Properties xmlns="http://schemas.openxmlformats.org/officeDocument/2006/custom-properties" xmlns:vt="http://schemas.openxmlformats.org/officeDocument/2006/docPropsVTypes"/>
</file>