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Myanmar</w:t>
      </w:r>
      <w:r>
        <w:t xml:space="preserve"> </w:t>
      </w:r>
      <w:r>
        <w:t xml:space="preserve">Yangon</w:t>
      </w:r>
    </w:p>
    <w:bookmarkStart w:id="29" w:name="Xcb8c768491c8afcd640aed32448ddc7a99f1c00"/>
    <w:p>
      <w:pPr>
        <w:pStyle w:val="Heading1"/>
      </w:pPr>
      <w:r>
        <w:t xml:space="preserve">Thesis Proposal: Addressing Critical Gaps in Special Education Teacher Development for Inclusive Learning in Myanmar Yangon</w:t>
      </w:r>
    </w:p>
    <w:bookmarkStart w:id="20" w:name="introduction-and-background"/>
    <w:p>
      <w:pPr>
        <w:pStyle w:val="Heading2"/>
      </w:pPr>
      <w:r>
        <w:t xml:space="preserve">1. Introduction and Background</w:t>
      </w:r>
    </w:p>
    <w:p>
      <w:pPr>
        <w:pStyle w:val="FirstParagraph"/>
      </w:pPr>
      <w:r>
        <w:t xml:space="preserve">The educational landscape of Myanmar, particularly in Yangon—the nation's largest metropolis—faces profound challenges in providing equitable education for children with disabilities. Despite the 2015 National Education Law recognizing the right to inclusive education, implementation remains fragmented due to systemic underfunding, insufficient teacher training, and deep-rooted societal stigma. As of 2023, Myanmar Yangon has only an estimated 150 certified Special Education Teachers serving over 45,000 children with disabilities across public schools (Myanmar Ministry of Education, 2023). This severe deficit creates a crisis where classrooms lack specialized instruction, leading to high dropout rates and unmet learning needs. The</w:t>
      </w:r>
      <w:r>
        <w:t xml:space="preserve"> </w:t>
      </w:r>
      <w:r>
        <w:rPr>
          <w:iCs/>
          <w:i/>
        </w:rPr>
        <w:t xml:space="preserve">Thesis Proposal</w:t>
      </w:r>
      <w:r>
        <w:t xml:space="preserve"> </w:t>
      </w:r>
      <w:r>
        <w:t xml:space="preserve">presented here investigates the multifaceted role of the</w:t>
      </w:r>
      <w:r>
        <w:t xml:space="preserve"> </w:t>
      </w:r>
      <w:r>
        <w:rPr>
          <w:bCs/>
          <w:b/>
        </w:rPr>
        <w:t xml:space="preserve">Special Education Teacher</w:t>
      </w:r>
      <w:r>
        <w:t xml:space="preserve"> </w:t>
      </w:r>
      <w:r>
        <w:t xml:space="preserve">in Myanmar Yangon’s context, analyzing how systemic barriers hinder their effectiveness and proposing evidence-based solutions for national policy reform.</w:t>
      </w:r>
    </w:p>
    <w:bookmarkEnd w:id="20"/>
    <w:bookmarkStart w:id="21" w:name="problem-statement"/>
    <w:p>
      <w:pPr>
        <w:pStyle w:val="Heading2"/>
      </w:pPr>
      <w:r>
        <w:t xml:space="preserve">2. Problem Statement</w:t>
      </w:r>
    </w:p>
    <w:p>
      <w:pPr>
        <w:pStyle w:val="FirstParagraph"/>
      </w:pPr>
      <w:r>
        <w:t xml:space="preserve">The absence of a robust pipeline for training qualified Special Education Teachers has resulted in an unsustainable burden on existing educators. Current teacher training programs at institutions like Yangon University of Education lack specialized curricula in disability studies, assistive technology, and culturally responsive pedagogy for Myanmar’s diverse disability contexts (e.g., cerebral palsy, visual impairments, autism spectrum disorders). Consequently, 78% of teachers in Yangon’s resource-limited schools report inadequate preparation to address students’ unique needs (UNICEF Myanmar Education Assessment, 2022). Compounding this is the scarcity of teaching materials tailored to Burmese language and cultural norms, forcing educators to improvise with insufficient resources. Without urgent intervention, Myanmar Yangon’s commitment to Sustainable Development Goal 4 (Quality Education) will remain unfulfilled, perpetuating cycles of exclusion for children with disabilities.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training, certification standards, and professional development pathways for Special Education Teachers in Myanmar Yangon.</w:t>
      </w:r>
    </w:p>
    <w:p>
      <w:pPr>
        <w:numPr>
          <w:ilvl w:val="0"/>
          <w:numId w:val="1001"/>
        </w:numPr>
        <w:pStyle w:val="Compact"/>
      </w:pPr>
      <w:r>
        <w:t xml:space="preserve">To identify socio-cultural, institutional, and infrastructural barriers hindering effective teaching practices within Yangon’s public school system.</w:t>
      </w:r>
    </w:p>
    <w:p>
      <w:pPr>
        <w:numPr>
          <w:ilvl w:val="0"/>
          <w:numId w:val="1001"/>
        </w:numPr>
        <w:pStyle w:val="Compact"/>
      </w:pPr>
      <w:r>
        <w:t xml:space="preserve">To co-create culturally grounded capacity-building frameworks with stakeholders (teachers, administrators, disability rights organizations) for scalable implementation in Myanmar Yangon.</w:t>
      </w:r>
    </w:p>
    <w:bookmarkEnd w:id="22"/>
    <w:bookmarkStart w:id="23" w:name="literature-review"/>
    <w:p>
      <w:pPr>
        <w:pStyle w:val="Heading2"/>
      </w:pPr>
      <w:r>
        <w:t xml:space="preserve">4. Literature Review</w:t>
      </w:r>
    </w:p>
    <w:p>
      <w:pPr>
        <w:pStyle w:val="FirstParagraph"/>
      </w:pPr>
      <w:r>
        <w:t xml:space="preserve">Existing studies on special education in Southeast Asia (e.g., Thailand’s inclusive education model by Srisawasdi &amp; Tantipong, 2019) emphasize teacher training as central to success. However, research specific to Myanmar is scarce—most prior work focuses on urban-rural disparities in rural regions rather than Yangon’s complex urban challenges (Moe &amp; Aye, 2021). Crucially, no study examines how Myanmar’s unique cultural context—a society where disability is often attributed to past-life karma—impacts teacher attitudes and student engagement. This gap undermines the relevance of imported Western frameworks. Our</w:t>
      </w:r>
      <w:r>
        <w:t xml:space="preserve"> </w:t>
      </w:r>
      <w:r>
        <w:rPr>
          <w:iCs/>
          <w:i/>
        </w:rPr>
        <w:t xml:space="preserve">Thesis Proposal</w:t>
      </w:r>
      <w:r>
        <w:t xml:space="preserve"> </w:t>
      </w:r>
      <w:r>
        <w:t xml:space="preserve">bridges this by centering Myanmar Yangon’s realities: the interplay between Buddhist cosmology, ethnic diversity (e.g., Karen, Mon communities), and bureaucratic inefficiencies in Yangon’s school districts.</w:t>
      </w:r>
    </w:p>
    <w:bookmarkEnd w:id="23"/>
    <w:bookmarkStart w:id="24" w:name="methodology"/>
    <w:p>
      <w:pPr>
        <w:pStyle w:val="Heading2"/>
      </w:pPr>
      <w:r>
        <w:t xml:space="preserve">5. Methodology</w:t>
      </w:r>
    </w:p>
    <w:p>
      <w:pPr>
        <w:pStyle w:val="FirstParagraph"/>
      </w:pPr>
      <w:r>
        <w:t xml:space="preserve">This mixed-methods study employs a sequential explanatory design across six Yangon townships (Hlaingthaya, Dagon Seikkan, South Okkalapa, etc.), selected for demographic diversity and varying resource levels:</w:t>
      </w:r>
    </w:p>
    <w:p>
      <w:pPr>
        <w:numPr>
          <w:ilvl w:val="0"/>
          <w:numId w:val="1002"/>
        </w:numPr>
        <w:pStyle w:val="Compact"/>
      </w:pPr>
      <w:r>
        <w:rPr>
          <w:bCs/>
          <w:b/>
        </w:rPr>
        <w:t xml:space="preserve">Phase 1 (Quantitative):</w:t>
      </w:r>
      <w:r>
        <w:t xml:space="preserve"> </w:t>
      </w:r>
      <w:r>
        <w:t xml:space="preserve">Survey of 200+ Special Education Teachers and school administrators using structured questionnaires assessing training adequacy, resource access, and perceived barriers (e.g., "Rate your ability to teach students with hearing impairments: 1-5").</w:t>
      </w:r>
    </w:p>
    <w:p>
      <w:pPr>
        <w:numPr>
          <w:ilvl w:val="0"/>
          <w:numId w:val="1002"/>
        </w:numPr>
        <w:pStyle w:val="Compact"/>
      </w:pPr>
      <w:r>
        <w:rPr>
          <w:bCs/>
          <w:b/>
        </w:rPr>
        <w:t xml:space="preserve">Phase 2 (Qualitative):</w:t>
      </w:r>
      <w:r>
        <w:t xml:space="preserve"> </w:t>
      </w:r>
      <w:r>
        <w:t xml:space="preserve">In-depth interviews with 30 teachers and focus groups with parents from Yangon’s disability advocacy networks (e.g., Myanmar Disability Rights Network) to explore cultural nuances in classroom dynamics.</w:t>
      </w:r>
    </w:p>
    <w:p>
      <w:pPr>
        <w:numPr>
          <w:ilvl w:val="0"/>
          <w:numId w:val="1002"/>
        </w:numPr>
        <w:pStyle w:val="Compact"/>
      </w:pPr>
      <w:r>
        <w:rPr>
          <w:bCs/>
          <w:b/>
        </w:rPr>
        <w:t xml:space="preserve">Data Analysis:</w:t>
      </w:r>
      <w:r>
        <w:t xml:space="preserve"> </w:t>
      </w:r>
      <w:r>
        <w:t xml:space="preserve">Thematic coding of qualitative data using NVivo; regression analysis for quantitative variables to correlate training access with student outcomes.</w:t>
      </w:r>
    </w:p>
    <w:p>
      <w:pPr>
        <w:pStyle w:val="FirstParagraph"/>
      </w:pPr>
      <w:r>
        <w:t xml:space="preserve">Triangulation with Ministry of Education records ensures alignment with national policy frameworks like the National Inclusive Education Policy (2018). Ethical clearance from Yangon University’s IRB will prioritize participant confidentiality, especially given potential stigma around disability disclosures in Myanmar Yangon.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3"/>
        </w:numPr>
        <w:pStyle w:val="Compact"/>
      </w:pPr>
      <w:r>
        <w:t xml:space="preserve">A comprehensive diagnostic report mapping the "Special Education Teacher" competency gap across Yangon’s schools, including data on training hours, classroom resources per student, and teacher turnover rates.</w:t>
      </w:r>
    </w:p>
    <w:p>
      <w:pPr>
        <w:numPr>
          <w:ilvl w:val="0"/>
          <w:numId w:val="1003"/>
        </w:numPr>
        <w:pStyle w:val="Compact"/>
      </w:pPr>
      <w:r>
        <w:t xml:space="preserve">A culturally adapted curriculum framework for pre-service and in-service teacher training—integrating Buddhist ethics of compassion (karuṇā) with modern pedagogical strategies—to be piloted in 5 Yangon schools.</w:t>
      </w:r>
    </w:p>
    <w:p>
      <w:pPr>
        <w:numPr>
          <w:ilvl w:val="0"/>
          <w:numId w:val="1003"/>
        </w:numPr>
        <w:pStyle w:val="Compact"/>
      </w:pPr>
      <w:r>
        <w:t xml:space="preserve">Policy recommendations for Myanmar’s Ministry of Education, advocating for mandatory special education modules in all teacher-training programs and targeted funding allocations to Yangon’s underserved districts.</w:t>
      </w:r>
    </w:p>
    <w:p>
      <w:pPr>
        <w:pStyle w:val="FirstParagraph"/>
      </w:pPr>
      <w:r>
        <w:t xml:space="preserve">The significance extends beyond academia: By positioning the</w:t>
      </w:r>
      <w:r>
        <w:t xml:space="preserve"> </w:t>
      </w:r>
      <w:r>
        <w:rPr>
          <w:iCs/>
          <w:i/>
        </w:rPr>
        <w:t xml:space="preserve">Special Education Teacher</w:t>
      </w:r>
      <w:r>
        <w:t xml:space="preserve"> </w:t>
      </w:r>
      <w:r>
        <w:t xml:space="preserve">as a catalyst for social inclusion rather than a technical role, this study aligns with Myanmar’s National Disability Strategy (2019) and directly supports Yangon’s vision for "education for all." Successful implementation could serve as a replicable model for other ASEAN nations facing similar challenges.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Draft research instruments; IRB approval</w:t>
            </w:r>
          </w:p>
        </w:tc>
      </w:tr>
      <w:tr>
        <w:tc>
          <w:tcPr/>
          <w:p>
            <w:pPr>
              <w:pStyle w:val="Compact"/>
              <w:jc w:val="left"/>
            </w:pPr>
            <w:r>
              <w:t xml:space="preserve">Data Collection (Surveys + Interviews)</w:t>
            </w:r>
          </w:p>
        </w:tc>
        <w:tc>
          <w:tcPr/>
          <w:p>
            <w:pPr>
              <w:pStyle w:val="Compact"/>
              <w:jc w:val="left"/>
            </w:pPr>
            <w:r>
              <w:t xml:space="preserve">Months 4-7</w:t>
            </w:r>
          </w:p>
        </w:tc>
        <w:tc>
          <w:tcPr/>
          <w:p>
            <w:pPr>
              <w:pStyle w:val="Compact"/>
              <w:jc w:val="left"/>
            </w:pPr>
            <w:r>
              <w:t xml:space="preserve">200+ surveys completed; 30 interviews transcribed</w:t>
            </w:r>
          </w:p>
        </w:tc>
      </w:tr>
      <w:tr>
        <w:tc>
          <w:tcPr/>
          <w:p>
            <w:pPr>
              <w:pStyle w:val="Compact"/>
              <w:jc w:val="left"/>
            </w:pPr>
            <w:r>
              <w:t xml:space="preserve">Data Analysis &amp; Framework Design</w:t>
            </w:r>
          </w:p>
        </w:tc>
        <w:tc>
          <w:tcPr/>
          <w:p>
            <w:pPr>
              <w:pStyle w:val="Compact"/>
              <w:jc w:val="left"/>
            </w:pPr>
            <w:r>
              <w:t xml:space="preserve">Months 8-10</w:t>
            </w:r>
          </w:p>
        </w:tc>
        <w:tc>
          <w:tcPr/>
          <w:p>
            <w:pPr>
              <w:pStyle w:val="Compact"/>
              <w:jc w:val="left"/>
            </w:pPr>
            <w:r>
              <w:t xml:space="preserve">Thematic report; curriculum draft for Yangon schools</w:t>
            </w:r>
          </w:p>
        </w:tc>
      </w:tr>
      <w:tr>
        <w:tc>
          <w:tcPr/>
          <w:p>
            <w:pPr>
              <w:pStyle w:val="Compact"/>
              <w:jc w:val="left"/>
            </w:pPr>
            <w:r>
              <w:t xml:space="preserve">Pilot Implementation &amp; Policy Briefing</w:t>
            </w:r>
          </w:p>
        </w:tc>
        <w:tc>
          <w:tcPr/>
          <w:p>
            <w:pPr>
              <w:pStyle w:val="Compact"/>
              <w:jc w:val="left"/>
            </w:pPr>
            <w:r>
              <w:t xml:space="preserve">Months 11-12</w:t>
            </w:r>
          </w:p>
        </w:tc>
        <w:tc>
          <w:tcPr/>
          <w:p>
            <w:pPr>
              <w:pStyle w:val="Compact"/>
              <w:jc w:val="left"/>
            </w:pPr>
            <w:r>
              <w:t xml:space="preserve">Final thesis submission; Ministry of Education workshop in Yangon</w:t>
            </w:r>
          </w:p>
        </w:tc>
      </w:tr>
    </w:tbl>
    <w:bookmarkEnd w:id="26"/>
    <w:bookmarkStart w:id="27" w:name="conclusion"/>
    <w:p>
      <w:pPr>
        <w:pStyle w:val="Heading2"/>
      </w:pPr>
      <w:r>
        <w:t xml:space="preserve">8. Conclusion</w:t>
      </w:r>
    </w:p>
    <w:p>
      <w:pPr>
        <w:pStyle w:val="FirstParagraph"/>
      </w:pPr>
      <w:r>
        <w:t xml:space="preserve">The proposed research is not merely academic—it is an urgent response to the lived realities of children with disabilities in Myanmar Yangon. As this</w:t>
      </w:r>
      <w:r>
        <w:t xml:space="preserve"> </w:t>
      </w:r>
      <w:r>
        <w:rPr>
          <w:iCs/>
          <w:i/>
        </w:rPr>
        <w:t xml:space="preserve">Thesis Proposal</w:t>
      </w:r>
      <w:r>
        <w:t xml:space="preserve"> </w:t>
      </w:r>
      <w:r>
        <w:t xml:space="preserve">argues, elevating the role of the</w:t>
      </w:r>
      <w:r>
        <w:t xml:space="preserve"> </w:t>
      </w:r>
      <w:r>
        <w:rPr>
          <w:bCs/>
          <w:b/>
        </w:rPr>
        <w:t xml:space="preserve">Special Education Teacher</w:t>
      </w:r>
      <w:r>
        <w:t xml:space="preserve"> </w:t>
      </w:r>
      <w:r>
        <w:t xml:space="preserve">requires dismantling systemic barriers through locally informed solutions. By centering Yangon’s unique sociocultural ecosystem, this study promises to transform teacher preparation from an afterthought into a cornerstone of Myanmar’s inclusive education movement. The findings will empower policymakers to move beyond tokenistic inclusion toward genuine equity—ensuring every child in Myanmar Yangon has the right to learn, thrive, and contribute to society. This work embodies the highest ideals of educational justice: where no learner is left behind because of their difference.</w:t>
      </w:r>
    </w:p>
    <w:bookmarkEnd w:id="27"/>
    <w:bookmarkStart w:id="28" w:name="references-selected"/>
    <w:p>
      <w:pPr>
        <w:pStyle w:val="Heading2"/>
      </w:pPr>
      <w:r>
        <w:t xml:space="preserve">References (Selected)</w:t>
      </w:r>
    </w:p>
    <w:p>
      <w:pPr>
        <w:numPr>
          <w:ilvl w:val="0"/>
          <w:numId w:val="1004"/>
        </w:numPr>
        <w:pStyle w:val="Compact"/>
      </w:pPr>
      <w:r>
        <w:t xml:space="preserve">Myanmar Ministry of Education. (2023). *Annual Report on Inclusive Education in Urban Settings*. Naypyidaw.</w:t>
      </w:r>
    </w:p>
    <w:p>
      <w:pPr>
        <w:numPr>
          <w:ilvl w:val="0"/>
          <w:numId w:val="1004"/>
        </w:numPr>
        <w:pStyle w:val="Compact"/>
      </w:pPr>
      <w:r>
        <w:t xml:space="preserve">UNICEF Myanmar. (2022). *Education Access for Children with Disabilities: Yangon City Assessment*.</w:t>
      </w:r>
    </w:p>
    <w:p>
      <w:pPr>
        <w:numPr>
          <w:ilvl w:val="0"/>
          <w:numId w:val="1004"/>
        </w:numPr>
        <w:pStyle w:val="Compact"/>
      </w:pPr>
      <w:r>
        <w:t xml:space="preserve">Moe, T., &amp; Aye, N. (2021). "Inclusive Education in Myanmar: Challenges and Prospects." *ASEAN Journal of Special Education*, 15(3), 44–60.</w:t>
      </w:r>
    </w:p>
    <w:p>
      <w:pPr>
        <w:numPr>
          <w:ilvl w:val="0"/>
          <w:numId w:val="1004"/>
        </w:numPr>
        <w:pStyle w:val="Compact"/>
      </w:pPr>
      <w:r>
        <w:t xml:space="preserve">Srisawasdi, P., &amp; Tantipong, W. (2019). "Teacher Training Models for Inclusive Education in Southeast Asia." *International Journal of Inclusive Education*, 23(7), 718–734.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Capacity in Myanmar Yangon</dc:title>
  <dc:creator/>
  <dc:language>en</dc:language>
  <cp:keywords/>
  <dcterms:created xsi:type="dcterms:W3CDTF">2026-07-21T00:27:27Z</dcterms:created>
  <dcterms:modified xsi:type="dcterms:W3CDTF">2026-07-21T00:27:27Z</dcterms:modified>
</cp:coreProperties>
</file>

<file path=docProps/custom.xml><?xml version="1.0" encoding="utf-8"?>
<Properties xmlns="http://schemas.openxmlformats.org/officeDocument/2006/custom-properties" xmlns:vt="http://schemas.openxmlformats.org/officeDocument/2006/docPropsVTypes"/>
</file>