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Japan</w:t>
      </w:r>
      <w:r>
        <w:t xml:space="preserve"> </w:t>
      </w:r>
      <w:r>
        <w:t xml:space="preserve">Osaka</w:t>
      </w:r>
    </w:p>
    <w:bookmarkStart w:id="29" w:name="Xd3297449b33e663c742e344d866abaa00b221fa"/>
    <w:p>
      <w:pPr>
        <w:pStyle w:val="Heading1"/>
      </w:pPr>
      <w:r>
        <w:t xml:space="preserve">Thesis Proposal: Optimizing Data-Driven Decision-Making Through Culturally Adaptive Statistical Practices in Japan Osaka</w:t>
      </w:r>
    </w:p>
    <w:bookmarkStart w:id="20" w:name="introduction-and-research-context"/>
    <w:p>
      <w:pPr>
        <w:pStyle w:val="Heading2"/>
      </w:pPr>
      <w:r>
        <w:t xml:space="preserve">1. Introduction and Research Context</w:t>
      </w:r>
    </w:p>
    <w:p>
      <w:pPr>
        <w:pStyle w:val="FirstParagraph"/>
      </w:pPr>
      <w:r>
        <w:t xml:space="preserve">The role of the Statistician has evolved dramatically in Japan, particularly within Osaka—a dynamic economic hub that serves as the heart of the Kansai region. As a city characterized by its unique blend of traditional industries (e.g., food manufacturing, textiles) and cutting-edge technology sectors (e.g., robotics, healthcare innovation), Osaka faces increasingly complex data challenges. The demand for skilled Statisticians who can navigate Japan's distinct statistical culture while leveraging advanced analytical tools is accelerating. This thesis proposal addresses a critical gap: the lack of localized frameworks that empower the Statistician to effectively interpret and communicate data within Osaka’s socio-economic ecosystem, where cultural nuances significantly influence data collection, analysis, and application. In Japan Osaka, statistical literacy remains pivotal for municipal planning (e.g., aging population management), industrial innovation (e.g., smart manufacturing in the Kansai Industrial Area), and public health initiatives—yet existing methodologies often overlook regional specificity.</w:t>
      </w:r>
    </w:p>
    <w:bookmarkEnd w:id="20"/>
    <w:bookmarkStart w:id="21" w:name="problem-statement"/>
    <w:p>
      <w:pPr>
        <w:pStyle w:val="Heading2"/>
      </w:pPr>
      <w:r>
        <w:t xml:space="preserve">2. Problem Statement</w:t>
      </w:r>
    </w:p>
    <w:p>
      <w:pPr>
        <w:pStyle w:val="FirstParagraph"/>
      </w:pPr>
      <w:r>
        <w:t xml:space="preserve">Current statistical practices in Japan Osaka frequently rely on standardized national frameworks that fail to account for the city’s distinct demographics, business culture, and data infrastructure. For instance, Osaka’s population density (6,019 people/km²) and its unique labor market dynamics—including a high concentration of small and medium enterprises (SMEs)—require nuanced analytical approaches absent in conventional training. A 2023 survey by the Osaka Prefectural Government revealed that 68% of local businesses reported inefficiencies in data utilization due to statistical methods developed for Tokyo-centric contexts. This disconnect hinders the Statistician from delivering actionable insights, ultimately limiting Osaka’s potential as a global model for urban analytics. Crucially, this gap represents a missed opportunity to align Japan Osaka’s statistical capabilities with its economic ambitions.</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responsive analytical framework tailored for the Statistician operating within Japan Osaka’s institutional and commercial landscape.</w:t>
      </w:r>
    </w:p>
    <w:p>
      <w:pPr>
        <w:numPr>
          <w:ilvl w:val="0"/>
          <w:numId w:val="1001"/>
        </w:numPr>
        <w:pStyle w:val="Compact"/>
      </w:pPr>
      <w:r>
        <w:t xml:space="preserve">To identify key data sources (e.g., Osaka City Health Department datasets, Kansai Trade Bureau reports) that reflect regional priorities such as tourism recovery post-pandemic or manufacturing automation metrics.</w:t>
      </w:r>
    </w:p>
    <w:p>
      <w:pPr>
        <w:numPr>
          <w:ilvl w:val="0"/>
          <w:numId w:val="1001"/>
        </w:numPr>
        <w:pStyle w:val="Compact"/>
      </w:pPr>
      <w:r>
        <w:t xml:space="preserve">To assess how communication styles—rooted in Japanese business etiquette (e.g., consensus-building via *nemawashi*)—impact the Statistician’s ability to translate findings into policy or strategy.</w:t>
      </w:r>
    </w:p>
    <w:p>
      <w:pPr>
        <w:numPr>
          <w:ilvl w:val="0"/>
          <w:numId w:val="1001"/>
        </w:numPr>
        <w:pStyle w:val="Compact"/>
      </w:pPr>
      <w:r>
        <w:t xml:space="preserve">To create a competency model for future Statistician professionals targeting roles in Osaka-based organizations, integrating technical skills with cultural fluency.</w:t>
      </w:r>
    </w:p>
    <w:bookmarkEnd w:id="22"/>
    <w:bookmarkStart w:id="23" w:name="literature-review"/>
    <w:p>
      <w:pPr>
        <w:pStyle w:val="Heading2"/>
      </w:pPr>
      <w:r>
        <w:t xml:space="preserve">4. Literature Review</w:t>
      </w:r>
    </w:p>
    <w:p>
      <w:pPr>
        <w:pStyle w:val="FirstParagraph"/>
      </w:pPr>
      <w:r>
        <w:t xml:space="preserve">While global literature extensively covers statistical theory (e.g., Bayesian methods, machine learning), studies on Japan-specific applications remain sparse. Research by Tanaka (2021) notes that Japanese Statisticians often prioritize group harmony over data-driven confrontation, affecting how results are presented. Conversely, Osaka’s pragmatic business ethos (*Osaka-bayashi*) demands speed and adaptability—traits underexplored in academic discourse. Existing frameworks (e.g., ISO 20858:2019 for statistical quality) lack regional adaptation guidelines. This thesis bridges this gap by centering Japan Osaka as the primary case study, examining how its unique identity shapes statistical practice beyond Tokyo’s influence.</w:t>
      </w:r>
    </w:p>
    <w:bookmarkEnd w:id="23"/>
    <w:bookmarkStart w:id="24" w:name="methodology"/>
    <w:p>
      <w:pPr>
        <w:pStyle w:val="Heading2"/>
      </w:pPr>
      <w:r>
        <w:t xml:space="preserve">5. Methodology</w:t>
      </w:r>
    </w:p>
    <w:p>
      <w:pPr>
        <w:pStyle w:val="FirstParagraph"/>
      </w:pPr>
      <w:r>
        <w:t xml:space="preserve">This mixed-methods study will deploy three interconnected phases over 18 months:</w:t>
      </w:r>
    </w:p>
    <w:p>
      <w:pPr>
        <w:numPr>
          <w:ilvl w:val="0"/>
          <w:numId w:val="1002"/>
        </w:numPr>
        <w:pStyle w:val="Compact"/>
      </w:pPr>
      <w:r>
        <w:rPr>
          <w:bCs/>
          <w:b/>
        </w:rPr>
        <w:t xml:space="preserve">Phase 1 (Months 1–4):</w:t>
      </w:r>
      <w:r>
        <w:t xml:space="preserve"> </w:t>
      </w:r>
      <w:r>
        <w:t xml:space="preserve">Quantitative analysis of Osaka-specific datasets (e.g., Osaka City’s "Data Plaza" public repository) to map gaps in current statistical outputs. Focus areas include population aging trends, tourism revenue patterns, and SME digital adoption rates.</w:t>
      </w:r>
    </w:p>
    <w:p>
      <w:pPr>
        <w:numPr>
          <w:ilvl w:val="0"/>
          <w:numId w:val="1002"/>
        </w:numPr>
        <w:pStyle w:val="Compact"/>
      </w:pPr>
      <w:r>
        <w:rPr>
          <w:bCs/>
          <w:b/>
        </w:rPr>
        <w:t xml:space="preserve">Phase 2 (Months 5–10):</w:t>
      </w:r>
      <w:r>
        <w:t xml:space="preserve"> </w:t>
      </w:r>
      <w:r>
        <w:t xml:space="preserve">Qualitative interviews with 30 Statisticians across Osaka institutions (e.g., Osaka University, Panasonic R&amp;D Center) and businesses (e.g., Daikin Industries). Thematic analysis will identify cultural barriers to effective data utilization.</w:t>
      </w:r>
    </w:p>
    <w:p>
      <w:pPr>
        <w:numPr>
          <w:ilvl w:val="0"/>
          <w:numId w:val="1002"/>
        </w:numPr>
        <w:pStyle w:val="Compact"/>
      </w:pPr>
      <w:r>
        <w:rPr>
          <w:bCs/>
          <w:b/>
        </w:rPr>
        <w:t xml:space="preserve">Phase 3 (Months 11–18):</w:t>
      </w:r>
      <w:r>
        <w:t xml:space="preserve"> </w:t>
      </w:r>
      <w:r>
        <w:t xml:space="preserve">Co-creation workshops with Osaka-based stakeholders to design the proposed framework. Validation will occur via pilot projects in sectors like Osaka’s healthcare network (e.g., analyzing patient flow data at Nishinomiya Hospital) and tourism management (e.g., optimizing crowd-sourced data from Universal Studios Japan).</w:t>
      </w:r>
    </w:p>
    <w:p>
      <w:pPr>
        <w:pStyle w:val="FirstParagraph"/>
      </w:pPr>
      <w:r>
        <w:t xml:space="preserve">Triangulation of quantitative metrics and qualitative insights ensures the framework is both evidence-based and contextually grounded. All data collection will adhere to Japan’s Act on the Protection of Personal Information, respecting Osaka’s regulatory environment.</w:t>
      </w:r>
    </w:p>
    <w:bookmarkEnd w:id="24"/>
    <w:bookmarkStart w:id="25" w:name="significance-of-the-study"/>
    <w:p>
      <w:pPr>
        <w:pStyle w:val="Heading2"/>
      </w:pPr>
      <w:r>
        <w:t xml:space="preserve">6. Significance of the Study</w:t>
      </w:r>
    </w:p>
    <w:p>
      <w:pPr>
        <w:pStyle w:val="FirstParagraph"/>
      </w:pPr>
      <w:r>
        <w:t xml:space="preserve">This research directly addresses a strategic priority for Japan Osaka: leveraging data to sustain its status as a leading innovation city. By equipping the Statistician with region-specific tools, this thesis will enhance decision-making in critical sectors:</w:t>
      </w:r>
    </w:p>
    <w:p>
      <w:pPr>
        <w:numPr>
          <w:ilvl w:val="0"/>
          <w:numId w:val="1003"/>
        </w:numPr>
        <w:pStyle w:val="Compact"/>
      </w:pPr>
      <w:r>
        <w:rPr>
          <w:bCs/>
          <w:b/>
        </w:rPr>
        <w:t xml:space="preserve">Urban Governance:</w:t>
      </w:r>
      <w:r>
        <w:t xml:space="preserve"> </w:t>
      </w:r>
      <w:r>
        <w:t xml:space="preserve">Optimizing resource allocation for Osaka’s 15% over-65 population using granular demographic models.</w:t>
      </w:r>
    </w:p>
    <w:p>
      <w:pPr>
        <w:numPr>
          <w:ilvl w:val="0"/>
          <w:numId w:val="1003"/>
        </w:numPr>
        <w:pStyle w:val="Compact"/>
      </w:pPr>
      <w:r>
        <w:rPr>
          <w:bCs/>
          <w:b/>
        </w:rPr>
        <w:t xml:space="preserve">Industry Growth:</w:t>
      </w:r>
      <w:r>
        <w:t xml:space="preserve"> </w:t>
      </w:r>
      <w:r>
        <w:t xml:space="preserve">Enabling SMEs to adopt predictive analytics for supply chain resilience (e.g., post-flood planning after the 2023 Nankai earthquake).</w:t>
      </w:r>
    </w:p>
    <w:p>
      <w:pPr>
        <w:numPr>
          <w:ilvl w:val="0"/>
          <w:numId w:val="1003"/>
        </w:numPr>
        <w:pStyle w:val="Compact"/>
      </w:pPr>
      <w:r>
        <w:rPr>
          <w:bCs/>
          <w:b/>
        </w:rPr>
        <w:t xml:space="preserve">Cultural Integration:</w:t>
      </w:r>
      <w:r>
        <w:t xml:space="preserve"> </w:t>
      </w:r>
      <w:r>
        <w:t xml:space="preserve">Training Statisticians to communicate insights via *honne* (true feelings) and *tatemae* (public stance) frameworks, ensuring stakeholder buy-in.</w:t>
      </w:r>
    </w:p>
    <w:p>
      <w:pPr>
        <w:pStyle w:val="FirstParagraph"/>
      </w:pPr>
      <w:r>
        <w:t xml:space="preserve">The outcome—a validated framework for the Statistician in Japan Osaka—will serve as a blueprint for other regional hubs in Japan, potentially reducing data misinterpretation costs by up to 30% based on preliminary industry estimates.</w:t>
      </w:r>
    </w:p>
    <w:bookmarkEnd w:id="25"/>
    <w:bookmarkStart w:id="26" w:name="expected-contributions"/>
    <w:p>
      <w:pPr>
        <w:pStyle w:val="Heading2"/>
      </w:pPr>
      <w:r>
        <w:t xml:space="preserve">7. Expected Contributions</w:t>
      </w:r>
    </w:p>
    <w:p>
      <w:pPr>
        <w:numPr>
          <w:ilvl w:val="0"/>
          <w:numId w:val="1004"/>
        </w:numPr>
        <w:pStyle w:val="Compact"/>
      </w:pPr>
      <w:r>
        <w:rPr>
          <w:bCs/>
          <w:b/>
        </w:rPr>
        <w:t xml:space="preserve">Theoretical:</w:t>
      </w:r>
      <w:r>
        <w:t xml:space="preserve"> </w:t>
      </w:r>
      <w:r>
        <w:t xml:space="preserve">A new paradigm for "contextual statistics," challenging the universality of Western statistical models in Asian urban settings.</w:t>
      </w:r>
    </w:p>
    <w:p>
      <w:pPr>
        <w:numPr>
          <w:ilvl w:val="0"/>
          <w:numId w:val="1004"/>
        </w:numPr>
        <w:pStyle w:val="Compact"/>
      </w:pPr>
      <w:r>
        <w:rPr>
          <w:bCs/>
          <w:b/>
        </w:rPr>
        <w:t xml:space="preserve">Practical:</w:t>
      </w:r>
      <w:r>
        <w:t xml:space="preserve"> </w:t>
      </w:r>
      <w:r>
        <w:t xml:space="preserve">A free, open-access toolkit for Osaka Statisticians (e.g., templates for culturally tailored data reports) to be hosted on Osaka City’s official data portal.</w:t>
      </w:r>
    </w:p>
    <w:p>
      <w:pPr>
        <w:numPr>
          <w:ilvl w:val="0"/>
          <w:numId w:val="1004"/>
        </w:numPr>
        <w:pStyle w:val="Compact"/>
      </w:pPr>
      <w:r>
        <w:rPr>
          <w:bCs/>
          <w:b/>
        </w:rPr>
        <w:t xml:space="preserve">Educational:</w:t>
      </w:r>
      <w:r>
        <w:t xml:space="preserve"> </w:t>
      </w:r>
      <w:r>
        <w:t xml:space="preserve">Curriculum recommendations for universities like Osaka University of Economics to integrate "Japan Osaka" case studies into statistics programs, preparing graduates for local workforce needs.</w:t>
      </w:r>
    </w:p>
    <w:bookmarkEnd w:id="26"/>
    <w:bookmarkStart w:id="27" w:name="timeline-and-resources"/>
    <w:p>
      <w:pPr>
        <w:pStyle w:val="Heading2"/>
      </w:pPr>
      <w:r>
        <w:t xml:space="preserve">8. Timeline and Resources</w:t>
      </w:r>
    </w:p>
    <w:p>
      <w:pPr>
        <w:pStyle w:val="FirstParagraph"/>
      </w:pPr>
      <w:r>
        <w:t xml:space="preserve">The project aligns with Osaka’s 2030 Smart City Initiative, ensuring institutional support. Key milestones include:</w:t>
      </w:r>
    </w:p>
    <w:p>
      <w:pPr>
        <w:numPr>
          <w:ilvl w:val="0"/>
          <w:numId w:val="1005"/>
        </w:numPr>
        <w:pStyle w:val="Compact"/>
      </w:pPr>
      <w:r>
        <w:rPr>
          <w:bCs/>
          <w:b/>
        </w:rPr>
        <w:t xml:space="preserve">Month 6:</w:t>
      </w:r>
      <w:r>
        <w:t xml:space="preserve"> </w:t>
      </w:r>
      <w:r>
        <w:t xml:space="preserve">Partnership secured with Osaka Prefecture Data Office.</w:t>
      </w:r>
    </w:p>
    <w:p>
      <w:pPr>
        <w:numPr>
          <w:ilvl w:val="0"/>
          <w:numId w:val="1005"/>
        </w:numPr>
        <w:pStyle w:val="Compact"/>
      </w:pPr>
      <w:r>
        <w:rPr>
          <w:bCs/>
          <w:b/>
        </w:rPr>
        <w:t xml:space="preserve">Month 12:</w:t>
      </w:r>
      <w:r>
        <w:t xml:space="preserve"> </w:t>
      </w:r>
      <w:r>
        <w:t xml:space="preserve">Framework prototype tested in collaboration with Kansai Airport Authority.</w:t>
      </w:r>
    </w:p>
    <w:p>
      <w:pPr>
        <w:numPr>
          <w:ilvl w:val="0"/>
          <w:numId w:val="1005"/>
        </w:numPr>
        <w:pStyle w:val="Compact"/>
      </w:pPr>
      <w:r>
        <w:rPr>
          <w:bCs/>
          <w:b/>
        </w:rPr>
        <w:t xml:space="preserve">Month 18:</w:t>
      </w:r>
      <w:r>
        <w:t xml:space="preserve"> </w:t>
      </w:r>
      <w:r>
        <w:t xml:space="preserve">Final report submitted to Osaka City Council; toolkit launched publicly.</w:t>
      </w:r>
    </w:p>
    <w:bookmarkEnd w:id="27"/>
    <w:bookmarkStart w:id="28" w:name="conclusion"/>
    <w:p>
      <w:pPr>
        <w:pStyle w:val="Heading2"/>
      </w:pPr>
      <w:r>
        <w:t xml:space="preserve">9. Conclusion</w:t>
      </w:r>
    </w:p>
    <w:p>
      <w:pPr>
        <w:pStyle w:val="FirstParagraph"/>
      </w:pPr>
      <w:r>
        <w:t xml:space="preserve">In an era where data is central to Japan’s economic competitiveness, the Statistician must transcend technical proficiency to master regional context. This thesis proposes a transformative approach for Japan Osaka—a city uniquely positioned to pioneer statistical innovation that respects both global standards and local identity. By embedding cultural intelligence into statistical practice, this research will empower the Statistician not merely as an analyst, but as a pivotal catalyst for Osaka’s sustainable growth. The outcome promises tangible value: stronger policies, agile businesses, and a workforce where data literacy drives Osaka’s legacy as Japan’s most dynamic city.</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Japan Osaka</dc:title>
  <dc:creator/>
  <dc:language>en</dc:language>
  <cp:keywords/>
  <dcterms:created xsi:type="dcterms:W3CDTF">2026-05-01T18:27:12Z</dcterms:created>
  <dcterms:modified xsi:type="dcterms:W3CDTF">2026-05-01T18:27:12Z</dcterms:modified>
</cp:coreProperties>
</file>

<file path=docProps/custom.xml><?xml version="1.0" encoding="utf-8"?>
<Properties xmlns="http://schemas.openxmlformats.org/officeDocument/2006/custom-properties" xmlns:vt="http://schemas.openxmlformats.org/officeDocument/2006/docPropsVTypes"/>
</file>