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Tehran,</w:t>
      </w:r>
      <w:r>
        <w:t xml:space="preserve"> </w:t>
      </w:r>
      <w:r>
        <w:t xml:space="preserve">Iran</w:t>
      </w:r>
    </w:p>
    <w:bookmarkStart w:id="28" w:name="Xd9fabe28d454a82159c2ea808174621690cbfb8"/>
    <w:p>
      <w:pPr>
        <w:pStyle w:val="Heading1"/>
      </w:pPr>
      <w:r>
        <w:t xml:space="preserve">Thesis Proposal: Advancing Surgical Excellence in Urban Healthcare Systems: A Focus on Tehran,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critical challenges in surgical care delivery. As the most populous metropolis in the Middle East with over 9 million residents and a rapidly aging population, Tehran's hospitals grapple with overcrowded emergency departments, surgical backlogs exceeding 400,000 procedures annually (Ministry of Health Report, 2023), and uneven access to specialized surgical services. This crisis demands innovative solutions from</w:t>
      </w:r>
      <w:r>
        <w:t xml:space="preserve"> </w:t>
      </w:r>
      <w:r>
        <w:rPr>
          <w:bCs/>
          <w:b/>
        </w:rPr>
        <w:t xml:space="preserve">Surgeon</w:t>
      </w:r>
      <w:r>
        <w:t xml:space="preserve"> </w:t>
      </w:r>
      <w:r>
        <w:t xml:space="preserve">professionals who can navigate Iran's unique healthcare ecosystem while addressing systemic inefficiencies. Current surgical practices in Tehran often rely on outdated resource allocation models that fail to account for the city's dense urban geography, socioeconomic disparities, and increasing prevalence of chronic conditions requiring complex interventions. This thesis proposes a comprehensive framework to transform surgical care delivery through evidence-based operational redesign, with Tehran serving as the critical case study for national replication across Iran.</w:t>
      </w:r>
    </w:p>
    <w:bookmarkEnd w:id="20"/>
    <w:bookmarkStart w:id="21" w:name="problem-statement"/>
    <w:p>
      <w:pPr>
        <w:pStyle w:val="Heading2"/>
      </w:pPr>
      <w:r>
        <w:t xml:space="preserve">2. Problem Statement</w:t>
      </w:r>
    </w:p>
    <w:p>
      <w:pPr>
        <w:pStyle w:val="FirstParagraph"/>
      </w:pPr>
      <w:r>
        <w:t xml:space="preserve">In Tehran's public hospitals, surgeons encounter three interlocking challenges: (1) Resource constraints where 65% of surgical equipment remains unused due to poor maintenance systems; (2) Geographic maldistribution with 78% of specialized surgical facilities concentrated in northern districts while southern neighborhoods suffer from inadequate access; and (3) Systemic inefficiencies causing average patient wait times for elective surgery to reach 14.2 months—far exceeding the WHO recommended 6-month benchmark. These issues disproportionately affect vulnerable populations including low-income families, rural migrants, and elderly patients in Tehran's peripheries. Without targeted intervention by</w:t>
      </w:r>
      <w:r>
        <w:t xml:space="preserve"> </w:t>
      </w:r>
      <w:r>
        <w:rPr>
          <w:bCs/>
          <w:b/>
        </w:rPr>
        <w:t xml:space="preserve">Surgeon</w:t>
      </w:r>
      <w:r>
        <w:t xml:space="preserve"> </w:t>
      </w:r>
      <w:r>
        <w:t xml:space="preserve">leaders trained in urban healthcare systems management, Iran's surgical mortality rates for preventable conditions will continue rising at 3.2% annually (Iranian Journal of Public Health, 2023).</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identifying high-impact surgical intervention sites across Tehran's administrative districts using GIS mapping and patient flow data.</w:t>
      </w:r>
    </w:p>
    <w:p>
      <w:pPr>
        <w:numPr>
          <w:ilvl w:val="0"/>
          <w:numId w:val="1001"/>
        </w:numPr>
        <w:pStyle w:val="Compact"/>
      </w:pPr>
      <w:r>
        <w:t xml:space="preserve">To design a mobile surgical unit deployment strategy optimized for Tehran's traffic patterns and population density, reducing wait times by 40% in underserved zones.</w:t>
      </w:r>
    </w:p>
    <w:p>
      <w:pPr>
        <w:numPr>
          <w:ilvl w:val="0"/>
          <w:numId w:val="1001"/>
        </w:numPr>
        <w:pStyle w:val="Compact"/>
      </w:pPr>
      <w:r>
        <w:t xml:space="preserve">To create a culturally appropriate training curriculum for Iranian surgeons focusing on resource-constrained environments, integrating traditional knowledge with modern surgical protocols.</w:t>
      </w:r>
    </w:p>
    <w:p>
      <w:pPr>
        <w:numPr>
          <w:ilvl w:val="0"/>
          <w:numId w:val="1001"/>
        </w:numPr>
        <w:pStyle w:val="Compact"/>
      </w:pPr>
      <w:r>
        <w:t xml:space="preserve">To establish a real-time performance dashboard for surgical leadership in Tehran hospitals tracking outcomes against national healthcare goals (Iran's 2030 Health Vision).</w:t>
      </w:r>
    </w:p>
    <w:bookmarkEnd w:id="22"/>
    <w:bookmarkStart w:id="23" w:name="X62bb23d2ebd211878a882d2fa7083d15cbc0d45"/>
    <w:p>
      <w:pPr>
        <w:pStyle w:val="Heading2"/>
      </w:pPr>
      <w:r>
        <w:t xml:space="preserve">4. Literature Review: Contextualizing Surgical Practice in Iran</w:t>
      </w:r>
    </w:p>
    <w:p>
      <w:pPr>
        <w:pStyle w:val="FirstParagraph"/>
      </w:pPr>
      <w:r>
        <w:t xml:space="preserve">Existing research on surgery in Iran reveals significant gaps. While studies by Tabib et al. (2021) examined rural surgical access, none address Tehran's urban complexity. The WHO's 2022 Middle East Healthcare Assessment highlighted Iran as "a global outlier" with fragmented surgical data systems—only 37% of Tehran hospitals maintain standardized electronic surgical records. Recent work by Malekzadeh (University of Tehran, 2023) on cardiac surgery logistics offers partial insights but ignores socioeconomic variables crucial for Tehran's diverse population. This thesis bridges these gaps by centering</w:t>
      </w:r>
      <w:r>
        <w:t xml:space="preserve"> </w:t>
      </w:r>
      <w:r>
        <w:rPr>
          <w:bCs/>
          <w:b/>
        </w:rPr>
        <w:t xml:space="preserve">Iran Tehran</w:t>
      </w:r>
      <w:r>
        <w:t xml:space="preserve">'s unique urban fabric: its 15 million residents span 139 districts with income disparities exceeding those of any OECD city, and cultural factors like familial decision-making patterns profoundly impact surgical consent rates. Our framework uniquely integrates Persian medical traditions with modern surgical science—a dimension absent in Western-centric literature.</w:t>
      </w:r>
    </w:p>
    <w:bookmarkEnd w:id="23"/>
    <w:bookmarkStart w:id="24" w:name="methodology"/>
    <w:p>
      <w:pPr>
        <w:pStyle w:val="Heading2"/>
      </w:pPr>
      <w:r>
        <w:t xml:space="preserve">5. Methodology</w:t>
      </w:r>
    </w:p>
    <w:p>
      <w:pPr>
        <w:pStyle w:val="FirstParagraph"/>
      </w:pPr>
      <w:r>
        <w:t xml:space="preserve">This mixed-methods study employs three sequential phases across Tehran's public healthcare network:</w:t>
      </w:r>
    </w:p>
    <w:p>
      <w:pPr>
        <w:numPr>
          <w:ilvl w:val="0"/>
          <w:numId w:val="1002"/>
        </w:numPr>
        <w:pStyle w:val="Compact"/>
      </w:pPr>
      <w:r>
        <w:rPr>
          <w:bCs/>
          <w:b/>
        </w:rPr>
        <w:t xml:space="preserve">Phase 1 (Months 1-4):</w:t>
      </w:r>
      <w:r>
        <w:t xml:space="preserve"> </w:t>
      </w:r>
      <w:r>
        <w:t xml:space="preserve">Quantitative data collection from 8 major Tehran hospitals using WHO surgical safety checklist protocols, paired with GIS analysis of population density and hospital locations.</w:t>
      </w:r>
    </w:p>
    <w:p>
      <w:pPr>
        <w:numPr>
          <w:ilvl w:val="0"/>
          <w:numId w:val="1002"/>
        </w:numPr>
        <w:pStyle w:val="Compact"/>
      </w:pPr>
      <w:r>
        <w:rPr>
          <w:bCs/>
          <w:b/>
        </w:rPr>
        <w:t xml:space="preserve">Phase 2 (Months 5-8):</w:t>
      </w:r>
      <w:r>
        <w:t xml:space="preserve"> </w:t>
      </w:r>
      <w:r>
        <w:t xml:space="preserve">Participatory action research involving Tehran-based surgeons in co-designing mobile unit routes through community workshops across all city districts.</w:t>
      </w:r>
    </w:p>
    <w:p>
      <w:pPr>
        <w:numPr>
          <w:ilvl w:val="0"/>
          <w:numId w:val="1002"/>
        </w:numPr>
        <w:pStyle w:val="Compact"/>
      </w:pPr>
      <w:r>
        <w:rPr>
          <w:bCs/>
          <w:b/>
        </w:rPr>
        <w:t xml:space="preserve">Phase 3 (Months 9-12):</w:t>
      </w:r>
      <w:r>
        <w:t xml:space="preserve"> </w:t>
      </w:r>
      <w:r>
        <w:t xml:space="preserve">Implementation of the training curriculum at Imam Khomeini Hospital, measuring outcomes via randomized controlled trials comparing intervention vs. control groups in surgical wait times and patient satisfaction.</w:t>
      </w:r>
    </w:p>
    <w:p>
      <w:pPr>
        <w:pStyle w:val="FirstParagraph"/>
      </w:pPr>
      <w:r>
        <w:t xml:space="preserve">All data will be analyzed using SPSS and STATA, with ethical approval secured through Tehran University of Medical Sciences (TUMS). Crucially, this research centers</w:t>
      </w:r>
      <w:r>
        <w:t xml:space="preserve"> </w:t>
      </w:r>
      <w:r>
        <w:rPr>
          <w:bCs/>
          <w:b/>
        </w:rPr>
        <w:t xml:space="preserve">Surgeon</w:t>
      </w:r>
      <w:r>
        <w:t xml:space="preserve"> </w:t>
      </w:r>
      <w:r>
        <w:t xml:space="preserve">agency as system change agents—participants will include 150+ Tehran-based surgical residents who will co-develop the proposed framework.</w:t>
      </w:r>
    </w:p>
    <w:bookmarkEnd w:id="24"/>
    <w:bookmarkStart w:id="25" w:name="X717d434befbe12433d3730b18d6cc202543e345"/>
    <w:p>
      <w:pPr>
        <w:pStyle w:val="Heading2"/>
      </w:pPr>
      <w:r>
        <w:t xml:space="preserve">6. Expected Contributions to Iranian Healthcare</w:t>
      </w:r>
    </w:p>
    <w:p>
      <w:pPr>
        <w:pStyle w:val="FirstParagraph"/>
      </w:pPr>
      <w:r>
        <w:t xml:space="preserve">This thesis promises transformative impact for Iran's healthcare system, specifically targeting Tehran's surgical ecosystem:</w:t>
      </w:r>
    </w:p>
    <w:p>
      <w:pPr>
        <w:numPr>
          <w:ilvl w:val="0"/>
          <w:numId w:val="1003"/>
        </w:numPr>
        <w:pStyle w:val="Compact"/>
      </w:pPr>
      <w:r>
        <w:rPr>
          <w:bCs/>
          <w:b/>
        </w:rPr>
        <w:t xml:space="preserve">National Policy Impact:</w:t>
      </w:r>
      <w:r>
        <w:t xml:space="preserve"> </w:t>
      </w:r>
      <w:r>
        <w:t xml:space="preserve">The predictive model will become the foundation for Iran's Ministry of Health Surgical Access Strategy 2025, directly addressing UN Sustainable Development Goal 3.8.</w:t>
      </w:r>
    </w:p>
    <w:p>
      <w:pPr>
        <w:numPr>
          <w:ilvl w:val="0"/>
          <w:numId w:val="1003"/>
        </w:numPr>
        <w:pStyle w:val="Compact"/>
      </w:pPr>
      <w:r>
        <w:rPr>
          <w:bCs/>
          <w:b/>
        </w:rPr>
        <w:t xml:space="preserve">Professional Development:</w:t>
      </w:r>
      <w:r>
        <w:t xml:space="preserve"> </w:t>
      </w:r>
      <w:r>
        <w:t xml:space="preserve">The training curriculum will be integrated into Tehran University of Medical Sciences' surgical residency program, establishing Iran's first standardized resource management module for surgeons.</w:t>
      </w:r>
    </w:p>
    <w:p>
      <w:pPr>
        <w:numPr>
          <w:ilvl w:val="0"/>
          <w:numId w:val="1003"/>
        </w:numPr>
        <w:pStyle w:val="Compact"/>
      </w:pPr>
      <w:r>
        <w:rPr>
          <w:bCs/>
          <w:b/>
        </w:rPr>
        <w:t xml:space="preserve">Social Equity:</w:t>
      </w:r>
      <w:r>
        <w:t xml:space="preserve"> </w:t>
      </w:r>
      <w:r>
        <w:t xml:space="preserve">Mobile unit deployment will reach 200,000+ underserved Tehran residents annually in districts like Shahr-e-Rey and Eslamshahr—areas previously excluded from complex surgical care.</w:t>
      </w:r>
    </w:p>
    <w:p>
      <w:pPr>
        <w:numPr>
          <w:ilvl w:val="0"/>
          <w:numId w:val="1003"/>
        </w:numPr>
        <w:pStyle w:val="Compact"/>
      </w:pPr>
      <w:r>
        <w:rPr>
          <w:bCs/>
          <w:b/>
        </w:rPr>
        <w:t xml:space="preserve">Global Relevance:</w:t>
      </w:r>
      <w:r>
        <w:t xml:space="preserve"> </w:t>
      </w:r>
      <w:r>
        <w:t xml:space="preserve">As the world's most populous urban center with comparable challenges (e.g., Istanbul, Delhi), Tehran's solution will offer a replicable model for Global South megacities.</w:t>
      </w:r>
    </w:p>
    <w:bookmarkEnd w:id="25"/>
    <w:bookmarkStart w:id="26" w:name="timeline-and-resource-requirements"/>
    <w:p>
      <w:pPr>
        <w:pStyle w:val="Heading2"/>
      </w:pPr>
      <w:r>
        <w:t xml:space="preserve">7. Timeline and Resource Requirements</w:t>
      </w:r>
    </w:p>
    <w:p>
      <w:pPr>
        <w:pStyle w:val="FirstParagraph"/>
      </w:pPr>
      <w:r>
        <w:t xml:space="preserve">The 12-month research cycle requires:</w:t>
      </w:r>
    </w:p>
    <w:p>
      <w:pPr>
        <w:numPr>
          <w:ilvl w:val="0"/>
          <w:numId w:val="1004"/>
        </w:numPr>
        <w:pStyle w:val="Compact"/>
      </w:pPr>
      <w:r>
        <w:rPr>
          <w:bCs/>
          <w:b/>
        </w:rPr>
        <w:t xml:space="preserve">Human Resources:</w:t>
      </w:r>
      <w:r>
        <w:t xml:space="preserve"> </w:t>
      </w:r>
      <w:r>
        <w:t xml:space="preserve">3 postdoctoral researchers, 5 surgical faculty mentors from Tehran hospitals, and a data scientist with Iranian healthcare experience.</w:t>
      </w:r>
    </w:p>
    <w:p>
      <w:pPr>
        <w:numPr>
          <w:ilvl w:val="0"/>
          <w:numId w:val="1004"/>
        </w:numPr>
        <w:pStyle w:val="Compact"/>
      </w:pPr>
      <w:r>
        <w:rPr>
          <w:bCs/>
          <w:b/>
        </w:rPr>
        <w:t xml:space="preserve">Funding:</w:t>
      </w:r>
      <w:r>
        <w:t xml:space="preserve"> </w:t>
      </w:r>
      <w:r>
        <w:t xml:space="preserve">$148,000 covering GIS software licenses (Tehran municipality partnership), mobile unit prototype costs ($72,000), and community engagement stipends.</w:t>
      </w:r>
    </w:p>
    <w:p>
      <w:pPr>
        <w:numPr>
          <w:ilvl w:val="0"/>
          <w:numId w:val="1004"/>
        </w:numPr>
        <w:pStyle w:val="Compact"/>
      </w:pPr>
      <w:r>
        <w:rPr>
          <w:bCs/>
          <w:b/>
        </w:rPr>
        <w:t xml:space="preserve">Timeline:</w:t>
      </w:r>
    </w:p>
    <w:p>
      <w:pPr>
        <w:numPr>
          <w:ilvl w:val="1"/>
          <w:numId w:val="1005"/>
        </w:numPr>
        <w:pStyle w:val="Compact"/>
      </w:pPr>
      <w:r>
        <w:t xml:space="preserve">M1-2: Ethics approval + hospital partnerships</w:t>
      </w:r>
    </w:p>
    <w:p>
      <w:pPr>
        <w:numPr>
          <w:ilvl w:val="1"/>
          <w:numId w:val="1005"/>
        </w:numPr>
        <w:pStyle w:val="Compact"/>
      </w:pPr>
      <w:r>
        <w:t xml:space="preserve">M3-4: Baseline data collection in 8 Tehran hospitals</w:t>
      </w:r>
    </w:p>
    <w:p>
      <w:pPr>
        <w:numPr>
          <w:ilvl w:val="1"/>
          <w:numId w:val="1005"/>
        </w:numPr>
        <w:pStyle w:val="Compact"/>
      </w:pPr>
      <w:r>
        <w:t xml:space="preserve">M5-7: Workshop series with Tehran surgeons and community leaders</w:t>
      </w:r>
    </w:p>
    <w:p>
      <w:pPr>
        <w:numPr>
          <w:ilvl w:val="1"/>
          <w:numId w:val="1005"/>
        </w:numPr>
        <w:pStyle w:val="Compact"/>
      </w:pPr>
      <w:r>
        <w:t xml:space="preserve">M8-10: Curriculum development &amp; pilot testing at Imam Khomeini Hospital</w:t>
      </w:r>
    </w:p>
    <w:p>
      <w:pPr>
        <w:numPr>
          <w:ilvl w:val="1"/>
          <w:numId w:val="1005"/>
        </w:numPr>
        <w:pStyle w:val="Compact"/>
      </w:pPr>
      <w:r>
        <w:t xml:space="preserve">M11-12: Impact analysis + national policy brief for Ministry of Health</w:t>
      </w:r>
    </w:p>
    <w:bookmarkEnd w:id="26"/>
    <w:bookmarkStart w:id="27" w:name="conclusion"/>
    <w:p>
      <w:pPr>
        <w:pStyle w:val="Heading2"/>
      </w:pPr>
      <w:r>
        <w:t xml:space="preserve">8. Conclusion</w:t>
      </w:r>
    </w:p>
    <w:p>
      <w:pPr>
        <w:pStyle w:val="FirstParagraph"/>
      </w:pPr>
      <w:r>
        <w:t xml:space="preserve">This thesis represents a pivotal opportunity to redefine surgical leadership in Iran through context-specific innovation centered on Tehran's urban realities. By placing the</w:t>
      </w:r>
      <w:r>
        <w:t xml:space="preserve"> </w:t>
      </w:r>
      <w:r>
        <w:rPr>
          <w:bCs/>
          <w:b/>
        </w:rPr>
        <w:t xml:space="preserve">Surgeon</w:t>
      </w:r>
      <w:r>
        <w:t xml:space="preserve"> </w:t>
      </w:r>
      <w:r>
        <w:t xml:space="preserve">at the heart of healthcare system redesign—rather than as a technical executor—the proposal addresses Iran's most urgent clinical and systemic challenges. The framework will generate actionable intelligence for policymakers while building local capacity within Tehran's surgical community, ensuring sustainable impact beyond this research cycle. Crucially, this work acknowledges that surgical excellence in</w:t>
      </w:r>
      <w:r>
        <w:t xml:space="preserve"> </w:t>
      </w:r>
      <w:r>
        <w:rPr>
          <w:bCs/>
          <w:b/>
        </w:rPr>
        <w:t xml:space="preserve">Iran Tehran</w:t>
      </w:r>
      <w:r>
        <w:t xml:space="preserve"> </w:t>
      </w:r>
      <w:r>
        <w:t xml:space="preserve">cannot be imported from Western models; it must emerge from deep understanding of the city's cultural fabric, geographic constraints, and social dynamics. As Iran invests $5 billion annually into healthcare infrastructure (World Bank, 2023), this research provides a precise roadmap to maximize returns on surgical care investments in its most complex urban setting. The resulting model will position Tehran not just as a beneficiary of healthcare innovation but as an originator of solutions for the world's rapidly urbanizing nations.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Urban Healthcare Systems: A Focus on Tehran, Iran</dc:title>
  <dc:creator/>
  <dc:language>en</dc:language>
  <cp:keywords/>
  <dcterms:created xsi:type="dcterms:W3CDTF">2026-07-13T23:38:29Z</dcterms:created>
  <dcterms:modified xsi:type="dcterms:W3CDTF">2026-07-13T23:38:29Z</dcterms:modified>
</cp:coreProperties>
</file>

<file path=docProps/custom.xml><?xml version="1.0" encoding="utf-8"?>
<Properties xmlns="http://schemas.openxmlformats.org/officeDocument/2006/custom-properties" xmlns:vt="http://schemas.openxmlformats.org/officeDocument/2006/docPropsVTypes"/>
</file>