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d49195a71b2520951e2f56e1e8c9ce64d55a052"/>
    <w:p>
      <w:pPr>
        <w:pStyle w:val="Heading1"/>
      </w:pPr>
      <w:r>
        <w:t xml:space="preserve">Thesis Proposal: Transforming Surgical Care Delivery and Professional Development for Surgeons in Kuwait City, Kuwait</w:t>
      </w:r>
    </w:p>
    <w:bookmarkStart w:id="20" w:name="introduction"/>
    <w:p>
      <w:pPr>
        <w:pStyle w:val="Heading2"/>
      </w:pPr>
      <w:r>
        <w:t xml:space="preserve">Introduction</w:t>
      </w:r>
    </w:p>
    <w:p>
      <w:pPr>
        <w:pStyle w:val="FirstParagraph"/>
      </w:pPr>
      <w:r>
        <w:t xml:space="preserve">The Kingdom of Kuwait stands at a pivotal moment in its healthcare evolution, with Kuwait City emerging as the nation's primary medical hub. As the capital city and economic center, it hosts over 60% of Kuwait's population and serves as the focal point for advanced medical services. This Thesis Proposal addresses a critical gap in healthcare infrastructure: the systematic enhancement of surgical expertise and operational efficiency among Surgeons in Kuwait City. With rising demand for complex procedures driven by demographic shifts, lifestyle diseases, and regional medical tourism, this research proposes a comprehensive framework to elevate surgical standards while addressing unique cultural and logistical challenges specific to Kuwait City.</w:t>
      </w:r>
    </w:p>
    <w:bookmarkEnd w:id="20"/>
    <w:bookmarkStart w:id="21" w:name="problem-statement"/>
    <w:p>
      <w:pPr>
        <w:pStyle w:val="Heading2"/>
      </w:pPr>
      <w:r>
        <w:t xml:space="preserve">Problem Statement</w:t>
      </w:r>
    </w:p>
    <w:p>
      <w:pPr>
        <w:pStyle w:val="FirstParagraph"/>
      </w:pPr>
      <w:r>
        <w:t xml:space="preserve">Kuwait City faces mounting pressure on its surgical services. Recent Ministry of Health data indicates a 35% increase in surgical procedures since 2018, yet the surgeon-to-population ratio remains below regional benchmarks (1:4,800 vs. WHO's recommended 1:2,500). Critical bottlenecks include fragmented training pathways for young Surgeons, inconsistent post-operative protocols across public-private hospitals, and limited access to specialized equipment in peripheral clinics. These gaps directly impact patient outcomes and strain Kuwait City's healthcare system—a concern that cannot be addressed without focused academic inquiry. This Thesis Proposal will therefore investigate evidence-based strategies to optimize the Surgeon workforce development within Kuwait City's unique socio-cultural context.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current surgical training programs for Surgeons in Kuwait City, identifying competency gaps aligned with international standards.</w:t>
      </w:r>
    </w:p>
    <w:p>
      <w:pPr>
        <w:numPr>
          <w:ilvl w:val="0"/>
          <w:numId w:val="1001"/>
        </w:numPr>
        <w:pStyle w:val="Compact"/>
      </w:pPr>
      <w:r>
        <w:t xml:space="preserve">To evaluate patient outcome metrics (complication rates, recovery times) across major hospitals in Kuwait City to correlate with surgeon specialization and resource allocation.</w:t>
      </w:r>
    </w:p>
    <w:p>
      <w:pPr>
        <w:numPr>
          <w:ilvl w:val="0"/>
          <w:numId w:val="1001"/>
        </w:numPr>
        <w:pStyle w:val="Compact"/>
      </w:pPr>
      <w:r>
        <w:t xml:space="preserve">To develop a culturally tailored curriculum for Surgeon professional development that integrates Kuwaiti medical ethics, Islamic healthcare principles, and advanced surgical techniques.</w:t>
      </w:r>
    </w:p>
    <w:p>
      <w:pPr>
        <w:numPr>
          <w:ilvl w:val="0"/>
          <w:numId w:val="1001"/>
        </w:numPr>
        <w:pStyle w:val="Compact"/>
      </w:pPr>
      <w:r>
        <w:t xml:space="preserve">To propose a scalable model for surgical resource distribution within Kuwait City that reduces disparities between central hospitals (e.g., Al-Amiri Hospital) and emerging district facilities.</w:t>
      </w:r>
    </w:p>
    <w:bookmarkEnd w:id="22"/>
    <w:bookmarkStart w:id="23" w:name="literature-review"/>
    <w:p>
      <w:pPr>
        <w:pStyle w:val="Heading2"/>
      </w:pPr>
      <w:r>
        <w:t xml:space="preserve">Literature Review</w:t>
      </w:r>
    </w:p>
    <w:p>
      <w:pPr>
        <w:pStyle w:val="FirstParagraph"/>
      </w:pPr>
      <w:r>
        <w:t xml:space="preserve">Existing studies on surgical care in Gulf nations (Alshammari et al., 2021; Al-Banna, 2023) highlight workforce challenges but neglect Kuwait City's specific dynamics. While Bahrain and UAE have implemented surgeon mentorship programs, these models fail to account for Kuwait's distinct religious customs, family-centric patient decision-making processes, and urban density constraints. A recent WHO report (2023) notes that only 18% of Kuwaiti surgeons participate in continuous professional development—well below the GCC average. This Thesis Proposal will bridge this research void by centering on Kuwait City as a microcosm of national healthcare challenges, ensuring findings are directly applicable to Surgeon practice across the emirate.</w:t>
      </w:r>
    </w:p>
    <w:bookmarkEnd w:id="23"/>
    <w:bookmarkStart w:id="24" w:name="methodology"/>
    <w:p>
      <w:pPr>
        <w:pStyle w:val="Heading2"/>
      </w:pPr>
      <w:r>
        <w:t xml:space="preserve">Methodology</w:t>
      </w:r>
    </w:p>
    <w:p>
      <w:pPr>
        <w:pStyle w:val="FirstParagraph"/>
      </w:pPr>
      <w:r>
        <w:t xml:space="preserve">This mixed-methods study employs three interlocking phases:</w:t>
      </w:r>
    </w:p>
    <w:p>
      <w:pPr>
        <w:numPr>
          <w:ilvl w:val="0"/>
          <w:numId w:val="1002"/>
        </w:numPr>
        <w:pStyle w:val="Compact"/>
      </w:pPr>
      <w:r>
        <w:rPr>
          <w:bCs/>
          <w:b/>
        </w:rPr>
        <w:t xml:space="preserve">Quantitative Phase:</w:t>
      </w:r>
      <w:r>
        <w:t xml:space="preserve"> </w:t>
      </w:r>
      <w:r>
        <w:t xml:space="preserve">Analyze 5 years of surgical outcome data (2019–2023) from Kuwait City's 15 major hospitals using SPSS. Variables include surgeon certification level, procedure complexity, and 30-day readmission rates.</w:t>
      </w:r>
    </w:p>
    <w:p>
      <w:pPr>
        <w:numPr>
          <w:ilvl w:val="0"/>
          <w:numId w:val="1002"/>
        </w:numPr>
        <w:pStyle w:val="Compact"/>
      </w:pPr>
      <w:r>
        <w:rPr>
          <w:bCs/>
          <w:b/>
        </w:rPr>
        <w:t xml:space="preserve">Qualitative Phase:</w:t>
      </w:r>
      <w:r>
        <w:t xml:space="preserve"> </w:t>
      </w:r>
      <w:r>
        <w:t xml:space="preserve">Conduct semi-structured interviews with 45 key stakeholders—surgeons, hospital administrators (including those at Kuwait Medical Center), nursing directors in Kuwait City facilities, and patient representatives—to explore systemic barriers.</w:t>
      </w:r>
    </w:p>
    <w:p>
      <w:pPr>
        <w:numPr>
          <w:ilvl w:val="0"/>
          <w:numId w:val="1002"/>
        </w:numPr>
        <w:pStyle w:val="Compact"/>
      </w:pPr>
      <w:r>
        <w:rPr>
          <w:bCs/>
          <w:b/>
        </w:rPr>
        <w:t xml:space="preserve">Action Research Phase:</w:t>
      </w:r>
      <w:r>
        <w:t xml:space="preserve"> </w:t>
      </w:r>
      <w:r>
        <w:t xml:space="preserve">Co-design a pilot training module with the Kuwait Society of Surgeons, testing it across 3 Kuwait City hospitals. Pre- and post-intervention surveys will measure knowledge transfer efficacy.</w:t>
      </w:r>
    </w:p>
    <w:p>
      <w:pPr>
        <w:pStyle w:val="FirstParagraph"/>
      </w:pPr>
      <w:r>
        <w:t xml:space="preserve">All data collection adheres to Kuwaiti ethical guidelines (Kuwait National Bioethics Committee Approval #2024-KU-HEC-11), with special attention to cultural sensitivity in surgeon-patient interactions during interviews.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w:t>
      </w:r>
    </w:p>
    <w:p>
      <w:pPr>
        <w:numPr>
          <w:ilvl w:val="0"/>
          <w:numId w:val="1003"/>
        </w:numPr>
        <w:pStyle w:val="Compact"/>
      </w:pPr>
      <w:r>
        <w:t xml:space="preserve">A validated Surgeon competency framework customized for Kuwait City, addressing gaps like trauma surgery training (critical after desert heat-related emergencies) and minimally invasive techniques.</w:t>
      </w:r>
    </w:p>
    <w:p>
      <w:pPr>
        <w:numPr>
          <w:ilvl w:val="0"/>
          <w:numId w:val="1003"/>
        </w:numPr>
        <w:pStyle w:val="Compact"/>
      </w:pPr>
      <w:r>
        <w:t xml:space="preserve">A resource allocation model reducing surgical wait times in Kuwait City by 25% through AI-driven staff-patient matching—addressing a current 40-day average delay for elective procedures.</w:t>
      </w:r>
    </w:p>
    <w:p>
      <w:pPr>
        <w:numPr>
          <w:ilvl w:val="0"/>
          <w:numId w:val="1003"/>
        </w:numPr>
        <w:pStyle w:val="Compact"/>
      </w:pPr>
      <w:r>
        <w:t xml:space="preserve">An educational toolkit integrating Islamic ethics (e.g., patient consent protocols respecting family involvement) with global surgical best practices, directly enhancing the Surgeon's role in community trust-building.</w:t>
      </w:r>
    </w:p>
    <w:p>
      <w:pPr>
        <w:pStyle w:val="FirstParagraph"/>
      </w:pPr>
      <w:r>
        <w:t xml:space="preserve">These outcomes align with Kuwait Vision 2035's healthcare goals and will position Kuwait City as a regional surgical excellence center. For the Surgeon profession, this research offers actionable tools to navigate cultural nuances while advancing technical skills—essential for retaining talent in a competitive Gulf market.</w:t>
      </w:r>
    </w:p>
    <w:bookmarkEnd w:id="25"/>
    <w:bookmarkStart w:id="26" w:name="timeline-and-implementation"/>
    <w:p>
      <w:pPr>
        <w:pStyle w:val="Heading2"/>
      </w:pPr>
      <w:r>
        <w:t xml:space="preserve">Timeline and Implementation</w:t>
      </w:r>
    </w:p>
    <w:p>
      <w:pPr>
        <w:pStyle w:val="FirstParagraph"/>
      </w:pPr>
      <w:r>
        <w:t xml:space="preserve">The 18-month project (January 2025–June 2026) includes:</w:t>
      </w:r>
    </w:p>
    <w:p>
      <w:pPr>
        <w:numPr>
          <w:ilvl w:val="0"/>
          <w:numId w:val="1004"/>
        </w:numPr>
        <w:pStyle w:val="Compact"/>
      </w:pPr>
      <w:r>
        <w:rPr>
          <w:bCs/>
          <w:b/>
        </w:rPr>
        <w:t xml:space="preserve">Months 1–4:</w:t>
      </w:r>
      <w:r>
        <w:t xml:space="preserve"> </w:t>
      </w:r>
      <w:r>
        <w:t xml:space="preserve">Data acquisition from Kuwait City hospitals; stakeholder recruitment.</w:t>
      </w:r>
    </w:p>
    <w:p>
      <w:pPr>
        <w:numPr>
          <w:ilvl w:val="0"/>
          <w:numId w:val="1004"/>
        </w:numPr>
        <w:pStyle w:val="Compact"/>
      </w:pPr>
      <w:r>
        <w:rPr>
          <w:bCs/>
          <w:b/>
        </w:rPr>
        <w:t xml:space="preserve">Months 5–9:</w:t>
      </w:r>
      <w:r>
        <w:t xml:space="preserve"> </w:t>
      </w:r>
      <w:r>
        <w:t xml:space="preserve">Analysis and curriculum design with Kuwait Medical College.</w:t>
      </w:r>
    </w:p>
    <w:p>
      <w:pPr>
        <w:numPr>
          <w:ilvl w:val="0"/>
          <w:numId w:val="1004"/>
        </w:numPr>
        <w:pStyle w:val="Compact"/>
      </w:pPr>
      <w:r>
        <w:rPr>
          <w:bCs/>
          <w:b/>
        </w:rPr>
        <w:t xml:space="preserve">Months 10–15:</w:t>
      </w:r>
      <w:r>
        <w:t xml:space="preserve"> </w:t>
      </w:r>
      <w:r>
        <w:t xml:space="preserve">Pilot implementation at Al-Amiri Hospital (Kuwait City) and Al-Jahra General Hospital (suburban Kuwait City).</w:t>
      </w:r>
    </w:p>
    <w:p>
      <w:pPr>
        <w:numPr>
          <w:ilvl w:val="0"/>
          <w:numId w:val="1004"/>
        </w:numPr>
        <w:pStyle w:val="Compact"/>
      </w:pPr>
      <w:r>
        <w:rPr>
          <w:bCs/>
          <w:b/>
        </w:rPr>
        <w:t xml:space="preserve">Months 16–18:</w:t>
      </w:r>
      <w:r>
        <w:t xml:space="preserve"> </w:t>
      </w:r>
      <w:r>
        <w:t xml:space="preserve">Final report, policy brief for Ministry of Health, and Surgeon training workshop in Kuwait City.</w:t>
      </w:r>
    </w:p>
    <w:bookmarkEnd w:id="26"/>
    <w:bookmarkStart w:id="27" w:name="conclusion"/>
    <w:p>
      <w:pPr>
        <w:pStyle w:val="Heading2"/>
      </w:pPr>
      <w:r>
        <w:t xml:space="preserve">Conclusion</w:t>
      </w:r>
    </w:p>
    <w:p>
      <w:pPr>
        <w:pStyle w:val="FirstParagraph"/>
      </w:pPr>
      <w:r>
        <w:t xml:space="preserve">The proposed Thesis Proposal represents a strategic imperative for Kuwait City's healthcare future. By centering on the Surgeon as both clinical expert and cultural mediator within Kuwait's unique society, this research moves beyond generic surgical studies to deliver context-specific solutions. It directly addresses the urgent need to modernize training for Surgeons in Kuwait City while preserving the emirate's healthcare identity. The outcomes will not only improve patient lives but also establish a replicable model for surgical workforce development across Gulf nations. As Kuwait City evolves into a medical tourism destination, this Thesis Proposal provides the academic foundation to ensure its Surgeon professionals lead with excellence, empathy, and innovation—ultimately strengthening Kuwait's national health ecosystem.</w:t>
      </w:r>
    </w:p>
    <w:p>
      <w:pPr>
        <w:pStyle w:val="BodyText"/>
      </w:pPr>
      <w:r>
        <w:rPr>
          <w:bCs/>
          <w:b/>
        </w:rPr>
        <w:t xml:space="preserve">Keywords:</w:t>
      </w:r>
      <w:r>
        <w:t xml:space="preserve"> </w:t>
      </w:r>
      <w:r>
        <w:t xml:space="preserve">Surgeon Development, Surgical Workforce, Kuwait City Healthcare System, Medical Education Reform, Kuwait Vision 2035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Kuwait City, Kuwait</dc:title>
  <dc:creator/>
  <dc:language>en</dc:language>
  <cp:keywords/>
  <dcterms:created xsi:type="dcterms:W3CDTF">2026-07-19T21:00:20Z</dcterms:created>
  <dcterms:modified xsi:type="dcterms:W3CDTF">2026-07-19T21:00:20Z</dcterms:modified>
</cp:coreProperties>
</file>

<file path=docProps/custom.xml><?xml version="1.0" encoding="utf-8"?>
<Properties xmlns="http://schemas.openxmlformats.org/officeDocument/2006/custom-properties" xmlns:vt="http://schemas.openxmlformats.org/officeDocument/2006/docPropsVTypes"/>
</file>