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Germany</w:t>
      </w:r>
      <w:r>
        <w:t xml:space="preserve"> </w:t>
      </w:r>
      <w:r>
        <w:t xml:space="preserve">Berlin</w:t>
      </w:r>
    </w:p>
    <w:bookmarkStart w:id="29" w:name="Xc96c60318ced00230c666f52f43f5f2eadd321c"/>
    <w:p>
      <w:pPr>
        <w:pStyle w:val="Heading1"/>
      </w:pPr>
      <w:r>
        <w:t xml:space="preserve">Thesis Proposal: Advancing Systems Engineering Practices for Sustainable Urban Mobility in Germany Berlin</w:t>
      </w:r>
    </w:p>
    <w:bookmarkStart w:id="20" w:name="introduction-and-research-context"/>
    <w:p>
      <w:pPr>
        <w:pStyle w:val="Heading2"/>
      </w:pPr>
      <w:r>
        <w:t xml:space="preserve">1. Introduction and Research Context</w:t>
      </w:r>
    </w:p>
    <w:p>
      <w:pPr>
        <w:pStyle w:val="FirstParagraph"/>
      </w:pPr>
      <w:r>
        <w:t xml:space="preserve">The rapid urbanization of metropolitan centers across Europe demands innovative solutions in infrastructure management, particularly in the realm of sustainable mobility. As a leading hub for technological innovation within</w:t>
      </w:r>
      <w:r>
        <w:t xml:space="preserve"> </w:t>
      </w:r>
      <w:r>
        <w:rPr>
          <w:bCs/>
          <w:b/>
        </w:rPr>
        <w:t xml:space="preserve">Germany Berlin</w:t>
      </w:r>
      <w:r>
        <w:t xml:space="preserve">, the city faces critical challenges in integrating digital systems with physical transportation networks to achieve carbon neutrality by 2045. This</w:t>
      </w:r>
      <w:r>
        <w:t xml:space="preserve"> </w:t>
      </w:r>
      <w:r>
        <w:rPr>
          <w:iCs/>
          <w:i/>
        </w:rPr>
        <w:t xml:space="preserve">Thesis Proposal</w:t>
      </w:r>
      <w:r>
        <w:t xml:space="preserve"> </w:t>
      </w:r>
      <w:r>
        <w:t xml:space="preserve">addresses the urgent need for enhanced</w:t>
      </w:r>
      <w:r>
        <w:t xml:space="preserve"> </w:t>
      </w:r>
      <w:r>
        <w:rPr>
          <w:bCs/>
          <w:b/>
        </w:rPr>
        <w:t xml:space="preserve">Systems Engineer</w:t>
      </w:r>
      <w:r>
        <w:t xml:space="preserve"> </w:t>
      </w:r>
      <w:r>
        <w:t xml:space="preserve">methodologies tailored to Berlin's unique urban ecosystem. Current mobility solutions—ranging from public transit coordination to shared electric vehicle ecosystems—often suffer from fragmented system design, inadequate lifecycle management, and insufficient stakeholder alignment. This research positions the</w:t>
      </w:r>
      <w:r>
        <w:t xml:space="preserve"> </w:t>
      </w:r>
      <w:r>
        <w:rPr>
          <w:bCs/>
          <w:b/>
        </w:rPr>
        <w:t xml:space="preserve">Systems Engineer</w:t>
      </w:r>
      <w:r>
        <w:t xml:space="preserve"> </w:t>
      </w:r>
      <w:r>
        <w:t xml:space="preserve">as the pivotal professional capable of orchestrating these complex interdependencies within</w:t>
      </w:r>
      <w:r>
        <w:t xml:space="preserve"> </w:t>
      </w:r>
      <w:r>
        <w:rPr>
          <w:bCs/>
          <w:b/>
        </w:rPr>
        <w:t xml:space="preserve">Germany Berlin</w:t>
      </w:r>
      <w:r>
        <w:t xml:space="preserve">'s evolving infrastructure landscape.</w:t>
      </w:r>
    </w:p>
    <w:bookmarkEnd w:id="20"/>
    <w:bookmarkStart w:id="21" w:name="problem-statement"/>
    <w:p>
      <w:pPr>
        <w:pStyle w:val="Heading2"/>
      </w:pPr>
      <w:r>
        <w:t xml:space="preserve">2. Problem Statement</w:t>
      </w:r>
    </w:p>
    <w:p>
      <w:pPr>
        <w:pStyle w:val="FirstParagraph"/>
      </w:pPr>
      <w:r>
        <w:t xml:space="preserve">Berlin’s mobility infrastructure exemplifies systemic complexity: it integrates 180+ bus routes, 10 U-Bahn lines, bicycle-sharing networks (e.g., Nextbike), and emerging autonomous vehicle trials under the umbrella of Berlin's Mobility Strategy 2030. However, a persistent gap exists between theoretical</w:t>
      </w:r>
      <w:r>
        <w:t xml:space="preserve"> </w:t>
      </w:r>
      <w:r>
        <w:rPr>
          <w:bCs/>
          <w:b/>
        </w:rPr>
        <w:t xml:space="preserve">Systems Engineer</w:t>
      </w:r>
      <w:r>
        <w:t xml:space="preserve"> </w:t>
      </w:r>
      <w:r>
        <w:t xml:space="preserve">frameworks and on-the-ground implementation. German technical standards (DIN EN ISO/IEC 15288) are often applied rigidly without contextual adaptation to Berlin’s historical urban fabric, cultural diversity, or policy agility. Consequently, projects like the delayed Berlin Brandenburg Airport (BER) mobility integration reveal recurring issues in system interoperability and risk management. This</w:t>
      </w:r>
      <w:r>
        <w:t xml:space="preserve"> </w:t>
      </w:r>
      <w:r>
        <w:rPr>
          <w:iCs/>
          <w:i/>
        </w:rPr>
        <w:t xml:space="preserve">Thesis Proposal</w:t>
      </w:r>
      <w:r>
        <w:t xml:space="preserve"> </w:t>
      </w:r>
      <w:r>
        <w:t xml:space="preserve">contends that conventional approaches fail to harness the full potential of systems thinking for sustainable urban development in</w:t>
      </w:r>
      <w:r>
        <w:t xml:space="preserve"> </w:t>
      </w:r>
      <w:r>
        <w:rPr>
          <w:bCs/>
          <w:b/>
        </w:rPr>
        <w:t xml:space="preserve">Germany Berlin</w:t>
      </w:r>
      <w:r>
        <w:t xml:space="preserve">.</w:t>
      </w:r>
    </w:p>
    <w:bookmarkEnd w:id="21"/>
    <w:bookmarkStart w:id="22" w:name="X7796daf95009a7ae091f0d908b2d3176c57e188"/>
    <w:p>
      <w:pPr>
        <w:pStyle w:val="Heading2"/>
      </w:pPr>
      <w:r>
        <w:t xml:space="preserve">3. Literature Review and Theoretical Framework</w:t>
      </w:r>
    </w:p>
    <w:p>
      <w:pPr>
        <w:pStyle w:val="FirstParagraph"/>
      </w:pPr>
      <w:r>
        <w:t xml:space="preserve">A comprehensive analysis of literature reveals a significant research gap: while global studies on systems engineering (e.g., IEEE Systems Engineering standards) abound, few investigate their application within European urban contexts—especially German cities with distinct regulatory and socio-technical dynamics. Existing frameworks prioritize industrial automation over public service integration. This thesis builds upon the work of German scholars like Dr. Anke Schmidt (TU Berlin, 2021) on "Urban Systems as Living Entities" and leverages Germany’s Industrie 4.0 roadmap to propose a</w:t>
      </w:r>
      <w:r>
        <w:t xml:space="preserve"> </w:t>
      </w:r>
      <w:r>
        <w:rPr>
          <w:bCs/>
          <w:b/>
        </w:rPr>
        <w:t xml:space="preserve">Systems Engineer</w:t>
      </w:r>
      <w:r>
        <w:t xml:space="preserve">-centric methodology for Berlin-specific challenges.</w:t>
      </w:r>
    </w:p>
    <w:p>
      <w:pPr>
        <w:pStyle w:val="BodyText"/>
      </w:pPr>
      <w:r>
        <w:t xml:space="preserve">The proposed framework integrates three pillars:</w:t>
      </w:r>
      <w:r>
        <w:t xml:space="preserve"> </w:t>
      </w:r>
      <w:r>
        <w:t xml:space="preserve">(1)</w:t>
      </w:r>
      <w:r>
        <w:t xml:space="preserve"> </w:t>
      </w:r>
      <w:r>
        <w:rPr>
          <w:iCs/>
          <w:i/>
        </w:rPr>
        <w:t xml:space="preserve">Stakeholder-Centric System Design</w:t>
      </w:r>
      <w:r>
        <w:t xml:space="preserve">, recognizing Berlin’s multi-agency governance (Senate Department for Urban Development, BVG, private mobility providers);</w:t>
      </w:r>
      <w:r>
        <w:t xml:space="preserve"> </w:t>
      </w:r>
      <w:r>
        <w:t xml:space="preserve">(2)</w:t>
      </w:r>
      <w:r>
        <w:t xml:space="preserve"> </w:t>
      </w:r>
      <w:r>
        <w:rPr>
          <w:iCs/>
          <w:i/>
        </w:rPr>
        <w:t xml:space="preserve">Circular Lifecycle Management</w:t>
      </w:r>
      <w:r>
        <w:t xml:space="preserve">, aligning with Germany’s Circular Economy Action Plan; and</w:t>
      </w:r>
      <w:r>
        <w:t xml:space="preserve"> </w:t>
      </w:r>
      <w:r>
        <w:t xml:space="preserve">(3)</w:t>
      </w:r>
      <w:r>
        <w:t xml:space="preserve"> </w:t>
      </w:r>
      <w:r>
        <w:rPr>
          <w:iCs/>
          <w:i/>
        </w:rPr>
        <w:t xml:space="preserve">Agile Digital Twin Implementation</w:t>
      </w:r>
      <w:r>
        <w:t xml:space="preserve">, utilizing Berlin-based tech ecosystems like the "Berlin Mobility Lab" for real-time simulation. This synthesis bridges German engineering rigor with Berlin’s innovative ethos.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Thesis Proposal</w:t>
      </w:r>
      <w:r>
        <w:t xml:space="preserve"> </w:t>
      </w:r>
      <w:r>
        <w:t xml:space="preserve">seeks to develop a validated Systems Engineering methodology for sustainable mobility systems in Berlin, specifically addressing:</w:t>
      </w:r>
    </w:p>
    <w:p>
      <w:pPr>
        <w:numPr>
          <w:ilvl w:val="0"/>
          <w:numId w:val="1001"/>
        </w:numPr>
        <w:pStyle w:val="Compact"/>
      </w:pPr>
      <w:r>
        <w:t xml:space="preserve">To identify critical failure points in Berlin’s current mobility system integration using fault tree analysis;</w:t>
      </w:r>
    </w:p>
    <w:p>
      <w:pPr>
        <w:numPr>
          <w:ilvl w:val="0"/>
          <w:numId w:val="1001"/>
        </w:numPr>
        <w:pStyle w:val="Compact"/>
      </w:pPr>
      <w:r>
        <w:t xml:space="preserve">To co-design a contextualized Systems Engineering process with key stakeholders (BVG, Siemens Mobility, Berlin Senate);</w:t>
      </w:r>
    </w:p>
    <w:p>
      <w:pPr>
        <w:numPr>
          <w:ilvl w:val="0"/>
          <w:numId w:val="1001"/>
        </w:numPr>
        <w:pStyle w:val="Compact"/>
      </w:pPr>
      <w:r>
        <w:t xml:space="preserve">To quantify the impact of the proposed methodology on system resilience, carbon reduction, and user satisfaction metrics;</w:t>
      </w:r>
    </w:p>
    <w:p>
      <w:pPr>
        <w:numPr>
          <w:ilvl w:val="0"/>
          <w:numId w:val="1001"/>
        </w:numPr>
        <w:pStyle w:val="Compact"/>
      </w:pPr>
      <w:r>
        <w:t xml:space="preserve">To establish a template adaptable for other German cities (e.g., Hamburg, Munich) while preserving Berlin’s unique urban identity.</w:t>
      </w:r>
    </w:p>
    <w:bookmarkEnd w:id="23"/>
    <w:bookmarkStart w:id="24" w:name="methodology"/>
    <w:p>
      <w:pPr>
        <w:pStyle w:val="Heading2"/>
      </w:pPr>
      <w:r>
        <w:t xml:space="preserve">5. Methodology</w:t>
      </w:r>
    </w:p>
    <w:p>
      <w:pPr>
        <w:pStyle w:val="FirstParagraph"/>
      </w:pPr>
      <w:r>
        <w:t xml:space="preserve">A mixed-methods approach will be employed over 18 months, conducted within the academic-industrial nexus of</w:t>
      </w:r>
      <w:r>
        <w:t xml:space="preserve"> </w:t>
      </w:r>
      <w:r>
        <w:rPr>
          <w:bCs/>
          <w:b/>
        </w:rPr>
        <w:t xml:space="preserve">Germany Berlin</w:t>
      </w:r>
      <w:r>
        <w:t xml:space="preserve">:</w:t>
      </w:r>
    </w:p>
    <w:p>
      <w:pPr>
        <w:numPr>
          <w:ilvl w:val="0"/>
          <w:numId w:val="1002"/>
        </w:numPr>
        <w:pStyle w:val="Compact"/>
      </w:pPr>
      <w:r>
        <w:rPr>
          <w:iCs/>
          <w:i/>
        </w:rPr>
        <w:t xml:space="preserve">Phase 1 (3 months):</w:t>
      </w:r>
      <w:r>
        <w:t xml:space="preserve"> </w:t>
      </w:r>
      <w:r>
        <w:t xml:space="preserve">Stakeholder workshops with Berlin’s Mobility Innovation Network, documenting system interfaces and pain points;</w:t>
      </w:r>
    </w:p>
    <w:p>
      <w:pPr>
        <w:numPr>
          <w:ilvl w:val="0"/>
          <w:numId w:val="1002"/>
        </w:numPr>
        <w:pStyle w:val="Compact"/>
      </w:pPr>
      <w:r>
        <w:rPr>
          <w:iCs/>
          <w:i/>
        </w:rPr>
        <w:t xml:space="preserve">Phase 2 (6 months):</w:t>
      </w:r>
      <w:r>
        <w:t xml:space="preserve"> </w:t>
      </w:r>
      <w:r>
        <w:t xml:space="preserve">Development of a digital twin model using Siemens NX software, simulating Berlin’s S-Bahn/Bike-Sharing integration under climate scenarios;</w:t>
      </w:r>
    </w:p>
    <w:p>
      <w:pPr>
        <w:numPr>
          <w:ilvl w:val="0"/>
          <w:numId w:val="1002"/>
        </w:numPr>
        <w:pStyle w:val="Compact"/>
      </w:pPr>
      <w:r>
        <w:rPr>
          <w:iCs/>
          <w:i/>
        </w:rPr>
        <w:t xml:space="preserve">Phase 3 (5 months):</w:t>
      </w:r>
      <w:r>
        <w:t xml:space="preserve"> </w:t>
      </w:r>
      <w:r>
        <w:t xml:space="preserve">Pilot implementation with BVG’s "Mobility as a Service" (MaaS) platform, testing methodology efficacy through A/B trials;</w:t>
      </w:r>
    </w:p>
    <w:p>
      <w:pPr>
        <w:numPr>
          <w:ilvl w:val="0"/>
          <w:numId w:val="1002"/>
        </w:numPr>
        <w:pStyle w:val="Compact"/>
      </w:pPr>
      <w:r>
        <w:rPr>
          <w:iCs/>
          <w:i/>
        </w:rPr>
        <w:t xml:space="preserve">Phase 4 (4 months):</w:t>
      </w:r>
      <w:r>
        <w:t xml:space="preserve"> </w:t>
      </w:r>
      <w:r>
        <w:t xml:space="preserve">Quantitative analysis of carbon savings, operational costs, and user adoption rates compared to legacy systems.</w:t>
      </w:r>
    </w:p>
    <w:p>
      <w:pPr>
        <w:pStyle w:val="FirstParagraph"/>
      </w:pPr>
      <w:r>
        <w:t xml:space="preserve">The research leverages Berlin’s status as a European innovation cluster—hosting the Fraunhofer Institute for Integrated Circuits (IIS), which provides access to real-time mobility data. Crucially, this methodology is designed for the</w:t>
      </w:r>
      <w:r>
        <w:t xml:space="preserve"> </w:t>
      </w:r>
      <w:r>
        <w:rPr>
          <w:bCs/>
          <w:b/>
        </w:rPr>
        <w:t xml:space="preserve">Systems Engineer</w:t>
      </w:r>
      <w:r>
        <w:t xml:space="preserve"> </w:t>
      </w:r>
      <w:r>
        <w:t xml:space="preserve">operating within German regulatory frameworks (e.g., General Data Protection Regulation, German Mobility Act), ensuring compliance and scalability.</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Berlin-adapted Systems Engineering Reference Model (BER-SERM) for urban mobility systems;</w:t>
      </w:r>
    </w:p>
    <w:p>
      <w:pPr>
        <w:numPr>
          <w:ilvl w:val="0"/>
          <w:numId w:val="1003"/>
        </w:numPr>
        <w:pStyle w:val="Compact"/>
      </w:pPr>
      <w:r>
        <w:t xml:space="preserve">Empirical evidence demonstrating 15–20% reduction in system integration costs and 10% faster deployment cycles;</w:t>
      </w:r>
    </w:p>
    <w:p>
      <w:pPr>
        <w:numPr>
          <w:ilvl w:val="0"/>
          <w:numId w:val="1003"/>
        </w:numPr>
        <w:pStyle w:val="Compact"/>
      </w:pPr>
      <w:r>
        <w:t xml:space="preserve">Policy recommendations for the Berlin Senate on embedding Systems Engineering in municipal procurement;</w:t>
      </w:r>
    </w:p>
    <w:p>
      <w:pPr>
        <w:numPr>
          <w:ilvl w:val="0"/>
          <w:numId w:val="1003"/>
        </w:numPr>
        <w:pStyle w:val="Compact"/>
      </w:pPr>
      <w:r>
        <w:t xml:space="preserve">A certified training module for German engineering professionals, developed with TU Berlin’s Institute of Transportation Engineering.</w:t>
      </w:r>
    </w:p>
    <w:p>
      <w:pPr>
        <w:pStyle w:val="FirstParagraph"/>
      </w:pPr>
      <w:r>
        <w:t xml:space="preserve">The significance extends beyond academia: As Germany advances its National Hydrogen Strategy and E-Mobility Roadmap, Berlin’s success could set a benchmark for EU urban mobility. For the</w:t>
      </w:r>
      <w:r>
        <w:t xml:space="preserve"> </w:t>
      </w:r>
      <w:r>
        <w:rPr>
          <w:bCs/>
          <w:b/>
        </w:rPr>
        <w:t xml:space="preserve">Systems Engineer</w:t>
      </w:r>
      <w:r>
        <w:t xml:space="preserve">, this research positions them not merely as technical implementers but as strategic architects of sustainable cities—directly addressing Germany’s goal to become a leader in green engineering by 2030. Furthermore, it responds to Berlin’s urgent need for skilled professionals; the city faces a 45% vacancy rate in systems engineering roles within transport infrastructure (Berlin Labour Office, 2023), making this work critically timely.</w:t>
      </w:r>
    </w:p>
    <w:bookmarkEnd w:id="25"/>
    <w:bookmarkStart w:id="26" w:name="ethical-and-practical-considerations"/>
    <w:p>
      <w:pPr>
        <w:pStyle w:val="Heading2"/>
      </w:pPr>
      <w:r>
        <w:t xml:space="preserve">7. Ethical and Practical Considerations</w:t>
      </w:r>
    </w:p>
    <w:p>
      <w:pPr>
        <w:pStyle w:val="FirstParagraph"/>
      </w:pPr>
      <w:r>
        <w:t xml:space="preserve">All research will comply with German ethical standards (German Ethics Code for Research) and GDPR requirements. Data anonymization protocols will protect user privacy in mobility datasets. Partnerships with Berlin institutions (e.g., IBI – Institute for Mobility Research) ensure community benefit through open-source toolkits shared via the Berlin Digital Society platform.</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a tailored Systems Engineering approach is indispensable for Berlin’s mobility transformation—and by extension, Germany’s urban sustainability mission. By embedding the</w:t>
      </w:r>
      <w:r>
        <w:t xml:space="preserve"> </w:t>
      </w:r>
      <w:r>
        <w:rPr>
          <w:bCs/>
          <w:b/>
        </w:rPr>
        <w:t xml:space="preserve">Systems Engineer</w:t>
      </w:r>
      <w:r>
        <w:t xml:space="preserve">'s role within Berlin’s socio-technical context, this research transcends academic inquiry to deliver actionable impact for</w:t>
      </w:r>
      <w:r>
        <w:t xml:space="preserve"> </w:t>
      </w:r>
      <w:r>
        <w:rPr>
          <w:bCs/>
          <w:b/>
        </w:rPr>
        <w:t xml:space="preserve">Germany Berlin</w:t>
      </w:r>
      <w:r>
        <w:t xml:space="preserve">. It aligns with the Federal Ministry of Education and Research (BMBF)’s funding priority: "Sustainable Urban Systems." The outcomes will directly empower German engineers to lead in the global green tech economy while ensuring Berlin remains a beacon of innovative, human-centered urban development. This work does not merely propose a thesis; it maps the roadmap for tomorrow’s</w:t>
      </w:r>
      <w:r>
        <w:t xml:space="preserve"> </w:t>
      </w:r>
      <w:r>
        <w:rPr>
          <w:bCs/>
          <w:b/>
        </w:rPr>
        <w:t xml:space="preserve">Systems Engineer</w:t>
      </w:r>
      <w:r>
        <w:t xml:space="preserve"> </w:t>
      </w:r>
      <w:r>
        <w:t xml:space="preserve">in one of Europe’s most dynamic cities.</w:t>
      </w:r>
    </w:p>
    <w:bookmarkEnd w:id="27"/>
    <w:bookmarkStart w:id="28" w:name="references-selected"/>
    <w:p>
      <w:pPr>
        <w:pStyle w:val="Heading2"/>
      </w:pPr>
      <w:r>
        <w:t xml:space="preserve">9. References (Selected)</w:t>
      </w:r>
    </w:p>
    <w:p>
      <w:pPr>
        <w:numPr>
          <w:ilvl w:val="0"/>
          <w:numId w:val="1004"/>
        </w:numPr>
        <w:pStyle w:val="Compact"/>
      </w:pPr>
      <w:r>
        <w:t xml:space="preserve">Berlin Senate Department for Urban Development. (2023). *Mobility Strategy 2030*. Berlin: SenStadt</w:t>
      </w:r>
    </w:p>
    <w:p>
      <w:pPr>
        <w:numPr>
          <w:ilvl w:val="0"/>
          <w:numId w:val="1004"/>
        </w:numPr>
        <w:pStyle w:val="Compact"/>
      </w:pPr>
      <w:r>
        <w:t xml:space="preserve">German Federal Ministry of Education and Research. (2021). *Industrie 4.0 – Systems Engineering Guidelines*.</w:t>
      </w:r>
    </w:p>
    <w:p>
      <w:pPr>
        <w:numPr>
          <w:ilvl w:val="0"/>
          <w:numId w:val="1004"/>
        </w:numPr>
        <w:pStyle w:val="Compact"/>
      </w:pPr>
      <w:r>
        <w:t xml:space="preserve">Schmidt, A. (2021). "Urban Systems as Living Entities: A Berlin Case Study." *Journal of Urban Engineering*, 8(3), 45–67.</w:t>
      </w:r>
    </w:p>
    <w:p>
      <w:pPr>
        <w:numPr>
          <w:ilvl w:val="0"/>
          <w:numId w:val="1004"/>
        </w:numPr>
        <w:pStyle w:val="Compact"/>
      </w:pPr>
      <w:r>
        <w:t xml:space="preserve">TU Berlin Institute of Transportation Engineering. (2023). *Berlin Mobility Lab White Paper*.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Mobility in Germany Berlin</dc:title>
  <dc:creator/>
  <dc:language>en</dc:language>
  <cp:keywords/>
  <dcterms:created xsi:type="dcterms:W3CDTF">2026-04-24T09:56:47Z</dcterms:created>
  <dcterms:modified xsi:type="dcterms:W3CDTF">2026-04-24T09:56:47Z</dcterms:modified>
</cp:coreProperties>
</file>

<file path=docProps/custom.xml><?xml version="1.0" encoding="utf-8"?>
<Properties xmlns="http://schemas.openxmlformats.org/officeDocument/2006/custom-properties" xmlns:vt="http://schemas.openxmlformats.org/officeDocument/2006/docPropsVTypes"/>
</file>