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Tailored</w:t>
      </w:r>
      <w:r>
        <w:t xml:space="preserve"> </w:t>
      </w:r>
      <w:r>
        <w:t xml:space="preserve">Educational</w:t>
      </w:r>
      <w:r>
        <w:t xml:space="preserve"> </w:t>
      </w:r>
      <w:r>
        <w:t xml:space="preserve">Frameworks</w:t>
      </w:r>
      <w:r>
        <w:t xml:space="preserve"> </w:t>
      </w:r>
      <w:r>
        <w:t xml:space="preserve">for</w:t>
      </w:r>
      <w:r>
        <w:t xml:space="preserve"> </w:t>
      </w:r>
      <w:r>
        <w:t xml:space="preserve">Higher</w:t>
      </w:r>
      <w:r>
        <w:t xml:space="preserve"> </w:t>
      </w:r>
      <w:r>
        <w:t xml:space="preserve">Education</w:t>
      </w:r>
      <w:r>
        <w:t xml:space="preserve"> </w:t>
      </w:r>
      <w:r>
        <w:t xml:space="preserve">in</w:t>
      </w:r>
      <w:r>
        <w:t xml:space="preserve"> </w:t>
      </w:r>
      <w:r>
        <w:t xml:space="preserve">Moscow,</w:t>
      </w:r>
      <w:r>
        <w:t xml:space="preserve"> </w:t>
      </w:r>
      <w:r>
        <w:t xml:space="preserve">Russia</w:t>
      </w:r>
    </w:p>
    <w:bookmarkStart w:id="27" w:name="Xb14ccc7d6ec35f51454ffd1ff9e0920d68e26c2"/>
    <w:p>
      <w:pPr>
        <w:pStyle w:val="Heading1"/>
      </w:pPr>
      <w:r>
        <w:t xml:space="preserve">Thesis Proposal: Designing Tailored Pedagogical Models to Address Contemporary Challenges in Moscow's Higher Education Landscape within the Russian Context</w:t>
      </w:r>
    </w:p>
    <w:p>
      <w:pPr>
        <w:pStyle w:val="FirstParagraph"/>
      </w:pPr>
      <w:r>
        <w:rPr>
          <w:bCs/>
          <w:b/>
        </w:rPr>
        <w:t xml:space="preserve">Submitted to:</w:t>
      </w:r>
      <w:r>
        <w:t xml:space="preserve"> </w:t>
      </w:r>
      <w:r>
        <w:t xml:space="preserve">Department of Educational Innovation, Faculty of Social Sciences, Moscow State University (MSU), Russia</w:t>
      </w:r>
    </w:p>
    <w:p>
      <w:pPr>
        <w:pStyle w:val="BodyText"/>
      </w:pPr>
      <w:r>
        <w:rPr>
          <w:bCs/>
          <w:b/>
        </w:rPr>
        <w:t xml:space="preserve">Date:</w:t>
      </w:r>
      <w:r>
        <w:t xml:space="preserve"> </w:t>
      </w:r>
      <w:r>
        <w:t xml:space="preserve">October 26, 2023</w:t>
      </w:r>
    </w:p>
    <w:bookmarkStart w:id="20" w:name="i.-introduction-and-research-rationale"/>
    <w:p>
      <w:pPr>
        <w:pStyle w:val="Heading2"/>
      </w:pPr>
      <w:r>
        <w:t xml:space="preserve">I. Introduction and Research Rationale</w:t>
      </w:r>
    </w:p>
    <w:p>
      <w:pPr>
        <w:pStyle w:val="FirstParagraph"/>
      </w:pPr>
      <w:r>
        <w:t xml:space="preserve">The evolving educational ecosystem in</w:t>
      </w:r>
      <w:r>
        <w:t xml:space="preserve"> </w:t>
      </w:r>
      <w:r>
        <w:rPr>
          <w:bCs/>
          <w:b/>
        </w:rPr>
        <w:t xml:space="preserve">Russia Moscow</w:t>
      </w:r>
      <w:r>
        <w:t xml:space="preserve"> </w:t>
      </w:r>
      <w:r>
        <w:t xml:space="preserve">demands innovative, context-specific solutions to bridge gaps between traditional pedagogy and the dynamic needs of students, industry, and national development goals. This</w:t>
      </w:r>
      <w:r>
        <w:t xml:space="preserve"> </w:t>
      </w:r>
      <w:r>
        <w:rPr>
          <w:bCs/>
          <w:b/>
        </w:rPr>
        <w:t xml:space="preserve">Thesis Proposal</w:t>
      </w:r>
      <w:r>
        <w:t xml:space="preserve"> </w:t>
      </w:r>
      <w:r>
        <w:t xml:space="preserve">addresses a critical gap in higher education by proposing a systematic framework for designing</w:t>
      </w:r>
      <w:r>
        <w:t xml:space="preserve"> </w:t>
      </w:r>
      <w:r>
        <w:rPr>
          <w:bCs/>
          <w:b/>
        </w:rPr>
        <w:t xml:space="preserve">Tailor</w:t>
      </w:r>
      <w:r>
        <w:t xml:space="preserve">-made educational models specifically calibrated for Moscow’s universities. As Russia accelerates its strategic focus on technological sovereignty (e.g., National Technology Initiative 2035), Moscow – as the nation’s academic, economic, and cultural epicenter – requires pedagogical approaches that transcend one-size-fits-all international templates. This research posits that existing curricula in Moscow’s leading institutions often fail to adequately integrate local socio-economic realities, linguistic nuances (Russian language immersion), and industry-specific demands unique to Russia’s evolving market. Consequently, graduates frequently lack the contextual agility required for seamless integration into Moscow’s burgeoning tech hubs, government agencies, or global Russian enterprises. This</w:t>
      </w:r>
      <w:r>
        <w:t xml:space="preserve"> </w:t>
      </w:r>
      <w:r>
        <w:rPr>
          <w:bCs/>
          <w:b/>
        </w:rPr>
        <w:t xml:space="preserve">Thesis Proposal</w:t>
      </w:r>
      <w:r>
        <w:t xml:space="preserve"> </w:t>
      </w:r>
      <w:r>
        <w:t xml:space="preserve">argues that a truly</w:t>
      </w:r>
      <w:r>
        <w:t xml:space="preserve"> </w:t>
      </w:r>
      <w:r>
        <w:rPr>
          <w:bCs/>
          <w:b/>
        </w:rPr>
        <w:t xml:space="preserve">Tailor</w:t>
      </w:r>
      <w:r>
        <w:t xml:space="preserve">-ed approach is not merely beneficial but essential for sustaining Moscow’s position as a leading intellectual capital in Eurasia.</w:t>
      </w:r>
    </w:p>
    <w:bookmarkEnd w:id="20"/>
    <w:bookmarkStart w:id="21" w:name="Xda4b87dd76ea8119ecbbe2ecef019a5f0dc7d21"/>
    <w:p>
      <w:pPr>
        <w:pStyle w:val="Heading2"/>
      </w:pPr>
      <w:r>
        <w:t xml:space="preserve">II. Problem Statement and Research Objectives</w:t>
      </w:r>
    </w:p>
    <w:p>
      <w:pPr>
        <w:pStyle w:val="FirstParagraph"/>
      </w:pPr>
      <w:r>
        <w:t xml:space="preserve">A significant disconnect exists between Moscow’s higher education outputs and the specific demands of the Russian labor market. While institutions like MSU, HSE University, and MIPT boast global rankings, their curricula often incorporate standardized Western frameworks that do not fully account for Russia’s unique geopolitical environment, regulatory landscape (e.g., data sovereignty laws), or cultural work ethics. This has resulted in graduates possessing generic skills but lacking the localized competencies demanded by employers in</w:t>
      </w:r>
      <w:r>
        <w:t xml:space="preserve"> </w:t>
      </w:r>
      <w:r>
        <w:rPr>
          <w:bCs/>
          <w:b/>
        </w:rPr>
        <w:t xml:space="preserve">Russia Moscow</w:t>
      </w:r>
      <w:r>
        <w:t xml:space="preserve">—such as navigating complex state procurement processes, mastering Russian-specific digital platforms (e.g., Yandex ecosystem integration), or understanding regional economic policies of the Moscow region. The central problem is the absence of a systematic methodology for</w:t>
      </w:r>
      <w:r>
        <w:t xml:space="preserve"> </w:t>
      </w:r>
      <w:r>
        <w:rPr>
          <w:bCs/>
          <w:b/>
        </w:rPr>
        <w:t xml:space="preserve">Tailor</w:t>
      </w:r>
      <w:r>
        <w:t xml:space="preserve">-ing educational content to this precise context. This research aims to:</w:t>
      </w:r>
    </w:p>
    <w:p>
      <w:pPr>
        <w:numPr>
          <w:ilvl w:val="0"/>
          <w:numId w:val="1001"/>
        </w:numPr>
        <w:pStyle w:val="Compact"/>
      </w:pPr>
      <w:r>
        <w:t xml:space="preserve">Identify key competencies most valued by major employers in Moscow’s tech, finance, and public sectors.</w:t>
      </w:r>
    </w:p>
    <w:p>
      <w:pPr>
        <w:numPr>
          <w:ilvl w:val="0"/>
          <w:numId w:val="1001"/>
        </w:numPr>
        <w:pStyle w:val="Compact"/>
      </w:pPr>
      <w:r>
        <w:t xml:space="preserve">Develop a prototype framework for curriculum adaptation that integrates Russian regulatory contexts and Moscow-specific case studies.</w:t>
      </w:r>
    </w:p>
    <w:p>
      <w:pPr>
        <w:numPr>
          <w:ilvl w:val="0"/>
          <w:numId w:val="1001"/>
        </w:numPr>
        <w:pStyle w:val="Compact"/>
      </w:pPr>
      <w:r>
        <w:t xml:space="preserve">Evaluate the impact of a pilot implementation of this tailored model on student employability metrics within select Moscow universities.</w:t>
      </w:r>
    </w:p>
    <w:bookmarkEnd w:id="21"/>
    <w:bookmarkStart w:id="22" w:name="Xf3d20cd35bc8ce85525c3e6005acea6a19af3a9"/>
    <w:p>
      <w:pPr>
        <w:pStyle w:val="Heading2"/>
      </w:pPr>
      <w:r>
        <w:t xml:space="preserve">III. Literature Review: Gaps in Contextualized Education Research</w:t>
      </w:r>
    </w:p>
    <w:p>
      <w:pPr>
        <w:pStyle w:val="FirstParagraph"/>
      </w:pPr>
      <w:r>
        <w:t xml:space="preserve">Existing literature on global higher education reform predominantly focuses on Western models (e.g., competency-based learning in the US or Bologna Process adaptations in Europe), neglecting the specific challenges of post-Soviet educational systems like Russia’s. Studies by Petrov (2021) and Sokolova (2020) highlight Moscow universities’ efforts to modernize curricula but emphasize top-down mandates without sufficient input from local industry stakeholders within</w:t>
      </w:r>
      <w:r>
        <w:t xml:space="preserve"> </w:t>
      </w:r>
      <w:r>
        <w:rPr>
          <w:bCs/>
          <w:b/>
        </w:rPr>
        <w:t xml:space="preserve">Russia Moscow</w:t>
      </w:r>
      <w:r>
        <w:t xml:space="preserve">. Crucially, no comprehensive framework exists for the nuanced process of</w:t>
      </w:r>
      <w:r>
        <w:t xml:space="preserve"> </w:t>
      </w:r>
      <w:r>
        <w:rPr>
          <w:bCs/>
          <w:b/>
        </w:rPr>
        <w:t xml:space="preserve">Tailor</w:t>
      </w:r>
      <w:r>
        <w:t xml:space="preserve">-ing content beyond linguistic translation or superficial cultural add-ons. The concept of "contextual adaptation" is underdeveloped in the Russian academic literature, often conflated with simple localization rather than deep pedagogical redesign. This research directly addresses this void by centering Moscow’s unique ecosystem—its proximity to government centers (e.g., Kremlin, Ministry of Education), its role as a global city hosting international corporations like Gazprom and Sberbank’s innovation labs, and its distinct cultural identity within</w:t>
      </w:r>
      <w:r>
        <w:t xml:space="preserve"> </w:t>
      </w:r>
      <w:r>
        <w:rPr>
          <w:bCs/>
          <w:b/>
        </w:rPr>
        <w:t xml:space="preserve">Russia</w:t>
      </w:r>
      <w:r>
        <w:t xml:space="preserve">—as the non-negotiable foundation for any effective educational model.</w:t>
      </w:r>
    </w:p>
    <w:bookmarkEnd w:id="22"/>
    <w:bookmarkStart w:id="23" w:name="X75a63136456b4fe3069bfa9b90c8bd07d763b0a"/>
    <w:p>
      <w:pPr>
        <w:pStyle w:val="Heading2"/>
      </w:pPr>
      <w:r>
        <w:t xml:space="preserve">IV. Methodology: A Mixed-Methods Approach for Moscow Contextualization</w:t>
      </w:r>
    </w:p>
    <w:p>
      <w:pPr>
        <w:pStyle w:val="FirstParagraph"/>
      </w:pPr>
      <w:r>
        <w:t xml:space="preserve">This study will employ a rigorous mixed-methods design, specifically designed to capture the complexities of adapting pedagogy within</w:t>
      </w:r>
      <w:r>
        <w:t xml:space="preserve"> </w:t>
      </w:r>
      <w:r>
        <w:rPr>
          <w:bCs/>
          <w:b/>
        </w:rPr>
        <w:t xml:space="preserve">Russia Moscow</w:t>
      </w:r>
      <w:r>
        <w:t xml:space="preserve">:</w:t>
      </w:r>
    </w:p>
    <w:p>
      <w:pPr>
        <w:numPr>
          <w:ilvl w:val="0"/>
          <w:numId w:val="1002"/>
        </w:numPr>
        <w:pStyle w:val="Compact"/>
      </w:pPr>
      <w:r>
        <w:rPr>
          <w:bCs/>
          <w:b/>
        </w:rPr>
        <w:t xml:space="preserve">Phase 1 (Qualitative):</w:t>
      </w:r>
      <w:r>
        <w:t xml:space="preserve"> </w:t>
      </w:r>
      <w:r>
        <w:t xml:space="preserve">In-depth interviews with 30 key stakeholders across Moscow: university deans (5 institutions), HR directors from major local employers (e.g., Yandex, Aeroflot, Russian Venture Company), and recent graduates. Focus will be on identifying *unmet* competencies and barriers to employability specific to the Moscow context.</w:t>
      </w:r>
    </w:p>
    <w:p>
      <w:pPr>
        <w:numPr>
          <w:ilvl w:val="0"/>
          <w:numId w:val="1002"/>
        </w:numPr>
        <w:pStyle w:val="Compact"/>
      </w:pPr>
      <w:r>
        <w:rPr>
          <w:bCs/>
          <w:b/>
        </w:rPr>
        <w:t xml:space="preserve">Phase 2 (Quantitative):</w:t>
      </w:r>
      <w:r>
        <w:t xml:space="preserve"> </w:t>
      </w:r>
      <w:r>
        <w:t xml:space="preserve">Survey of 500+ current students across the selected Moscow universities, measuring perceived alignment of their curricula with employer expectations in Russia. Metrics will include self-assessment scores on contextual skills (e.g., "Navigating Russian legal frameworks for startups," "Understanding Moscow's economic development zones").</w:t>
      </w:r>
    </w:p>
    <w:p>
      <w:pPr>
        <w:numPr>
          <w:ilvl w:val="0"/>
          <w:numId w:val="1002"/>
        </w:numPr>
        <w:pStyle w:val="Compact"/>
      </w:pPr>
      <w:r>
        <w:rPr>
          <w:bCs/>
          <w:b/>
        </w:rPr>
        <w:t xml:space="preserve">Phase 3 (Design &amp; Piloting):</w:t>
      </w:r>
      <w:r>
        <w:t xml:space="preserve"> </w:t>
      </w:r>
      <w:r>
        <w:t xml:space="preserve">Development and implementation of a prototype curriculum module (e.g., for Business Analytics) explicitly</w:t>
      </w:r>
      <w:r>
        <w:t xml:space="preserve"> </w:t>
      </w:r>
      <w:r>
        <w:rPr>
          <w:bCs/>
          <w:b/>
        </w:rPr>
        <w:t xml:space="preserve">Tailor</w:t>
      </w:r>
      <w:r>
        <w:t xml:space="preserve">-ed using insights from Phases 1 &amp; 2. This will be piloted in two Moscow universities with pre- and post-assessment of student performance on context-specific projects.</w:t>
      </w:r>
    </w:p>
    <w:p>
      <w:pPr>
        <w:numPr>
          <w:ilvl w:val="0"/>
          <w:numId w:val="1002"/>
        </w:numPr>
        <w:pStyle w:val="Compact"/>
      </w:pPr>
      <w:r>
        <w:rPr>
          <w:bCs/>
          <w:b/>
        </w:rPr>
        <w:t xml:space="preserve">Data Analysis:</w:t>
      </w:r>
      <w:r>
        <w:t xml:space="preserve"> </w:t>
      </w:r>
      <w:r>
        <w:t xml:space="preserve">Thematic analysis of interviews (using NVivo), statistical analysis of survey data (SPSS), and comparative assessment of pilot outcomes against control groups.</w:t>
      </w:r>
    </w:p>
    <w:bookmarkEnd w:id="23"/>
    <w:bookmarkStart w:id="24" w:name="Xa56d2afe652711aac251b44e58984b4093af92e"/>
    <w:p>
      <w:pPr>
        <w:pStyle w:val="Heading2"/>
      </w:pPr>
      <w:r>
        <w:t xml:space="preserve">V. Expected Outcomes, Significance, and Contribution</w:t>
      </w:r>
    </w:p>
    <w:p>
      <w:pPr>
        <w:pStyle w:val="FirstParagraph"/>
      </w:pPr>
      <w:r>
        <w:t xml:space="preserve">This research is expected to yield a replicable framework for designing truly</w:t>
      </w:r>
      <w:r>
        <w:t xml:space="preserve"> </w:t>
      </w:r>
      <w:r>
        <w:rPr>
          <w:bCs/>
          <w:b/>
        </w:rPr>
        <w:t xml:space="preserve">Tailor</w:t>
      </w:r>
      <w:r>
        <w:t xml:space="preserve">-ed educational content specifically validated within the Moscow landscape of</w:t>
      </w:r>
      <w:r>
        <w:t xml:space="preserve"> </w:t>
      </w:r>
      <w:r>
        <w:rPr>
          <w:bCs/>
          <w:b/>
        </w:rPr>
        <w:t xml:space="preserve">Russia</w:t>
      </w:r>
      <w:r>
        <w:t xml:space="preserve">. The primary outputs include:</w:t>
      </w:r>
    </w:p>
    <w:p>
      <w:pPr>
        <w:numPr>
          <w:ilvl w:val="0"/>
          <w:numId w:val="1003"/>
        </w:numPr>
        <w:pStyle w:val="Compact"/>
      </w:pPr>
      <w:r>
        <w:t xml:space="preserve">A comprehensive competency map highlighting Moscow-specific demands across key sectors.</w:t>
      </w:r>
    </w:p>
    <w:p>
      <w:pPr>
        <w:numPr>
          <w:ilvl w:val="0"/>
          <w:numId w:val="1003"/>
        </w:numPr>
        <w:pStyle w:val="Compact"/>
      </w:pPr>
      <w:r>
        <w:t xml:space="preserve">A standardized methodology for curriculum adaptation ("The Moscow Contextualization Protocol").</w:t>
      </w:r>
    </w:p>
    <w:p>
      <w:pPr>
        <w:numPr>
          <w:ilvl w:val="0"/>
          <w:numId w:val="1003"/>
        </w:numPr>
        <w:pStyle w:val="Compact"/>
      </w:pPr>
      <w:r>
        <w:t xml:space="preserve">Pilot evidence demonstrating measurable improvements in student readiness for the Moscow job market, directly addressing Russia’s strategic goals for talent development.</w:t>
      </w:r>
    </w:p>
    <w:p>
      <w:pPr>
        <w:pStyle w:val="FirstParagraph"/>
      </w:pPr>
      <w:r>
        <w:t xml:space="preserve">The significance extends beyond academia. For universities in</w:t>
      </w:r>
      <w:r>
        <w:t xml:space="preserve"> </w:t>
      </w:r>
      <w:r>
        <w:rPr>
          <w:bCs/>
          <w:b/>
        </w:rPr>
        <w:t xml:space="preserve">Russia Moscow</w:t>
      </w:r>
      <w:r>
        <w:t xml:space="preserve">, this framework provides a practical tool to enhance graduate employability and strengthen institutional reputation locally and internationally. For policymakers (e.g., Ministry of Education of the Russian Federation), it offers evidence-based guidance for national higher education strategy, moving beyond generic international benchmarks towards context-driven quality assurance. Crucially, this</w:t>
      </w:r>
      <w:r>
        <w:t xml:space="preserve"> </w:t>
      </w:r>
      <w:r>
        <w:rPr>
          <w:bCs/>
          <w:b/>
        </w:rPr>
        <w:t xml:space="preserve">Thesis Proposal</w:t>
      </w:r>
      <w:r>
        <w:t xml:space="preserve"> </w:t>
      </w:r>
      <w:r>
        <w:t xml:space="preserve">contributes a novel methodological lens to the field: demonstrating that effective educational adaptation is not passive localization but an active, data-driven process of *engineering* relevance specific to a city’s unique socio-economic fabric within the broader national framework of</w:t>
      </w:r>
      <w:r>
        <w:t xml:space="preserve"> </w:t>
      </w:r>
      <w:r>
        <w:rPr>
          <w:bCs/>
          <w:b/>
        </w:rPr>
        <w:t xml:space="preserve">Russia Moscow</w:t>
      </w:r>
      <w:r>
        <w:t xml:space="preserve">.</w:t>
      </w:r>
    </w:p>
    <w:bookmarkEnd w:id="24"/>
    <w:bookmarkStart w:id="25" w:name="vi.-timeline-and-resources"/>
    <w:p>
      <w:pPr>
        <w:pStyle w:val="Heading2"/>
      </w:pPr>
      <w:r>
        <w:t xml:space="preserve">VI. Timeline and Resources</w:t>
      </w:r>
    </w:p>
    <w:p>
      <w:pPr>
        <w:pStyle w:val="FirstParagraph"/>
      </w:pPr>
      <w:r>
        <w:t xml:space="preserve">The proposed 18-month project timeline includes: Months 1-3 (Literature review, stakeholder mapping); Months 4-6 (Interviews &amp; Survey design); Months 7-9 (Data collection); Months 10-12 (Framework development &amp; pilot design); Months 13-15 (Pilot implementation &amp; data analysis); Months 16-18 (Final report, dissemination). Required resources include access to Moscow universities’ administrative data, interview permissions from major employers in the city, and funding for survey logistics. Support is sought from MSU’s Center for Educational Innovation and partnerships with the Moscow Government’s Department of Education.</w:t>
      </w:r>
    </w:p>
    <w:bookmarkEnd w:id="25"/>
    <w:bookmarkStart w:id="26" w:name="vii.-conclusion"/>
    <w:p>
      <w:pPr>
        <w:pStyle w:val="Heading2"/>
      </w:pPr>
      <w:r>
        <w:t xml:space="preserve">VII. Conclusion</w:t>
      </w:r>
    </w:p>
    <w:p>
      <w:pPr>
        <w:pStyle w:val="FirstParagraph"/>
      </w:pPr>
      <w:r>
        <w:t xml:space="preserve">The future competitiveness of higher education in</w:t>
      </w:r>
      <w:r>
        <w:t xml:space="preserve"> </w:t>
      </w:r>
      <w:r>
        <w:rPr>
          <w:bCs/>
          <w:b/>
        </w:rPr>
        <w:t xml:space="preserve">Russia Moscow</w:t>
      </w:r>
      <w:r>
        <w:t xml:space="preserve"> </w:t>
      </w:r>
      <w:r>
        <w:t xml:space="preserve">hinges on moving beyond generic international models towards solutions engineered with local specificity at their core. This</w:t>
      </w:r>
      <w:r>
        <w:t xml:space="preserve"> </w:t>
      </w:r>
      <w:r>
        <w:rPr>
          <w:bCs/>
          <w:b/>
        </w:rPr>
        <w:t xml:space="preserve">Thesis Proposal</w:t>
      </w:r>
      <w:r>
        <w:t xml:space="preserve"> </w:t>
      </w:r>
      <w:r>
        <w:t xml:space="preserve">establishes the imperative for a deliberate, evidence-based process of</w:t>
      </w:r>
      <w:r>
        <w:t xml:space="preserve"> </w:t>
      </w:r>
      <w:r>
        <w:rPr>
          <w:bCs/>
          <w:b/>
        </w:rPr>
        <w:t xml:space="preserve">Tailor</w:t>
      </w:r>
      <w:r>
        <w:t xml:space="preserve">-ing educational frameworks to the unique demands of Moscow’s academic and professional ecosystem. By grounding every element—from competency identification to curriculum design—within the lived reality of</w:t>
      </w:r>
      <w:r>
        <w:t xml:space="preserve"> </w:t>
      </w:r>
      <w:r>
        <w:rPr>
          <w:bCs/>
          <w:b/>
        </w:rPr>
        <w:t xml:space="preserve">Russia Moscow</w:t>
      </w:r>
      <w:r>
        <w:t xml:space="preserve">, this research promises not just incremental improvement but a paradigm shift towards education that actively serves the city's, and by extension, Russia's strategic vision. The successful implementation of such a framework would position Moscow’s universities as global leaders in contextually intelligent higher education, setting a precedent for institutions across Russia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Tailored Educational Frameworks for Higher Education in Moscow, Russia</dc:title>
  <dc:creator/>
  <dc:language>en</dc:language>
  <cp:keywords/>
  <dcterms:created xsi:type="dcterms:W3CDTF">2026-07-19T22:05:14Z</dcterms:created>
  <dcterms:modified xsi:type="dcterms:W3CDTF">2026-07-19T22:05:14Z</dcterms:modified>
</cp:coreProperties>
</file>

<file path=docProps/custom.xml><?xml version="1.0" encoding="utf-8"?>
<Properties xmlns="http://schemas.openxmlformats.org/officeDocument/2006/custom-properties" xmlns:vt="http://schemas.openxmlformats.org/officeDocument/2006/docPropsVTypes"/>
</file>