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8" w:name="Xe0d5be4d869eac80ad04ae610a08b0460953c24"/>
    <w:p>
      <w:pPr>
        <w:pStyle w:val="Heading1"/>
      </w:pPr>
      <w:r>
        <w:t xml:space="preserve">Thesis Proposal: Enhancing Pedagogical Competencies for Primary Teachers in Medellín, Colombia</w:t>
      </w:r>
    </w:p>
    <w:bookmarkStart w:id="20" w:name="introduction-and-background"/>
    <w:p>
      <w:pPr>
        <w:pStyle w:val="Heading2"/>
      </w:pPr>
      <w:r>
        <w:t xml:space="preserve">1. Introduction and Background</w:t>
      </w:r>
    </w:p>
    <w:p>
      <w:pPr>
        <w:pStyle w:val="FirstParagraph"/>
      </w:pPr>
      <w:r>
        <w:t xml:space="preserve">In the vibrant educational landscape of Colombia Medellín, primary education serves as the cornerstone for national development and social transformation. As one of Latin America's most dynamic cities, Medellín faces unique challenges in its public school system, including socioeconomic disparities, urban migration pressures, and evolving pedagogical demands. This Thesis Proposal addresses a critical gap: the urgent need to strengthen</w:t>
      </w:r>
      <w:r>
        <w:t xml:space="preserve"> </w:t>
      </w:r>
      <w:r>
        <w:rPr>
          <w:iCs/>
          <w:i/>
        </w:rPr>
        <w:t xml:space="preserve">Teacher Primary</w:t>
      </w:r>
      <w:r>
        <w:t xml:space="preserve"> </w:t>
      </w:r>
      <w:r>
        <w:t xml:space="preserve">competencies through context-specific professional development frameworks. Colombia's National Education Policy (2020) emphasizes quality learning environments as pivotal for reducing educational inequality, yet Medellín's primary schools—particularly in marginalized communes like Comuna 13 and Ciudadidad—struggle with teacher retention, outdated methodologies, and insufficient support systems. This research will investigate how tailored professional development can empower</w:t>
      </w:r>
      <w:r>
        <w:t xml:space="preserve"> </w:t>
      </w:r>
      <w:r>
        <w:rPr>
          <w:iCs/>
          <w:i/>
        </w:rPr>
        <w:t xml:space="preserve">Teacher Primary</w:t>
      </w:r>
      <w:r>
        <w:t xml:space="preserve"> </w:t>
      </w:r>
      <w:r>
        <w:t xml:space="preserve">to navigate Medellín's complex educational ecosystem while aligning with Colombia's national curriculum (Currículo Nacional de Educación Básica).</w:t>
      </w:r>
    </w:p>
    <w:bookmarkEnd w:id="20"/>
    <w:bookmarkStart w:id="21" w:name="problem-statement"/>
    <w:p>
      <w:pPr>
        <w:pStyle w:val="Heading2"/>
      </w:pPr>
      <w:r>
        <w:t xml:space="preserve">2. Problem Statement</w:t>
      </w:r>
    </w:p>
    <w:p>
      <w:pPr>
        <w:pStyle w:val="FirstParagraph"/>
      </w:pPr>
      <w:r>
        <w:t xml:space="preserve">Despite Colombia's 15% increase in primary school enrollment since 2018, Medellín reports persistent learning gaps. According to the Colombian Ministry of Education's 2023 report, only 48% of primary students in Medellín achieve basic reading proficiency—well below the national average. Crucially, this deficit correlates with teacher preparedness: 65% of</w:t>
      </w:r>
      <w:r>
        <w:t xml:space="preserve"> </w:t>
      </w:r>
      <w:r>
        <w:rPr>
          <w:iCs/>
          <w:i/>
        </w:rPr>
        <w:t xml:space="preserve">Teacher Primary</w:t>
      </w:r>
      <w:r>
        <w:t xml:space="preserve"> </w:t>
      </w:r>
      <w:r>
        <w:t xml:space="preserve">in Medellín cite inadequate training in socio-emotional learning (SEL) and digital literacy as barriers to effective instruction. The city's "Medellín Educada" initiative has expanded school infrastructure, but without concurrent investment in pedagogical capacity, facilities remain underutilized. This thesis directly confronts the disconnect between policy ambitions and classroom realities for</w:t>
      </w:r>
      <w:r>
        <w:t xml:space="preserve"> </w:t>
      </w:r>
      <w:r>
        <w:rPr>
          <w:iCs/>
          <w:i/>
        </w:rPr>
        <w:t xml:space="preserve">Teacher Primary</w:t>
      </w:r>
      <w:r>
        <w:t xml:space="preserve"> </w:t>
      </w:r>
      <w:r>
        <w:t xml:space="preserve">in Colombia Medellín.</w:t>
      </w:r>
    </w:p>
    <w:bookmarkEnd w:id="21"/>
    <w:bookmarkStart w:id="22" w:name="X1bc277a1e7b611e990c5955970d2e0a2a539e33"/>
    <w:p>
      <w:pPr>
        <w:pStyle w:val="Heading2"/>
      </w:pPr>
      <w:r>
        <w:t xml:space="preserve">3. Literature Review: Contextualizing the Gap</w:t>
      </w:r>
    </w:p>
    <w:p>
      <w:pPr>
        <w:pStyle w:val="FirstParagraph"/>
      </w:pPr>
      <w:r>
        <w:t xml:space="preserve">Existing research on teacher development in Latin America often overlooks Medellín's urban complexity. While studies by UNICEF (2021) highlight Colombia's national teacher training reforms, they neglect hyperlocal factors like gang influence in neighborhoods or municipal resource allocation. Conversely, works focusing specifically on Medellín (e.g., García &amp; Rincón, 2022) examine school violence but ignore pedagogical innovation. This research bridges that gap by integrating three frameworks:</w:t>
      </w:r>
    </w:p>
    <w:p>
      <w:pPr>
        <w:numPr>
          <w:ilvl w:val="0"/>
          <w:numId w:val="1001"/>
        </w:numPr>
        <w:pStyle w:val="Compact"/>
      </w:pPr>
      <w:r>
        <w:rPr>
          <w:iCs/>
          <w:i/>
        </w:rPr>
        <w:t xml:space="preserve">Teacher Agency Theory</w:t>
      </w:r>
      <w:r>
        <w:t xml:space="preserve">: Positioning primary teachers as change agents (Fullan, 2016)</w:t>
      </w:r>
    </w:p>
    <w:p>
      <w:pPr>
        <w:numPr>
          <w:ilvl w:val="0"/>
          <w:numId w:val="1001"/>
        </w:numPr>
        <w:pStyle w:val="Compact"/>
      </w:pPr>
      <w:r>
        <w:rPr>
          <w:iCs/>
          <w:i/>
        </w:rPr>
        <w:t xml:space="preserve">Medellín's Urban Pedagogy Model</w:t>
      </w:r>
      <w:r>
        <w:t xml:space="preserve">: Leveraging the city's "Social Urbanism" philosophy (Pereira, 2020)</w:t>
      </w:r>
    </w:p>
    <w:p>
      <w:pPr>
        <w:numPr>
          <w:ilvl w:val="0"/>
          <w:numId w:val="1001"/>
        </w:numPr>
        <w:pStyle w:val="Compact"/>
      </w:pPr>
      <w:r>
        <w:rPr>
          <w:iCs/>
          <w:i/>
        </w:rPr>
        <w:t xml:space="preserve">Colombian Educational Equity Lens</w:t>
      </w:r>
      <w:r>
        <w:t xml:space="preserve">: Aligning with the 2018 Constitutional Court ruling on inclusive education (Sentence T-375)</w:t>
      </w:r>
    </w:p>
    <w:p>
      <w:pPr>
        <w:pStyle w:val="FirstParagraph"/>
      </w:pPr>
      <w:r>
        <w:t xml:space="preserve">The literature reveals a void in studies that merge these dimensions to design actionable support for</w:t>
      </w:r>
      <w:r>
        <w:t xml:space="preserve"> </w:t>
      </w:r>
      <w:r>
        <w:rPr>
          <w:iCs/>
          <w:i/>
        </w:rPr>
        <w:t xml:space="preserve">Teacher Primary</w:t>
      </w:r>
      <w:r>
        <w:t xml:space="preserve"> </w:t>
      </w:r>
      <w:r>
        <w:t xml:space="preserve">in Colombia's second-largest city.</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rPr>
          <w:bCs/>
          <w:b/>
        </w:rPr>
        <w:t xml:space="preserve">I. Identify</w:t>
      </w:r>
      <w:r>
        <w:t xml:space="preserve">: Specific pedagogical skill gaps among primary teachers across Medellín's 15 school districts, with focus on SEL integration and technology-mediated instruction.</w:t>
      </w:r>
    </w:p>
    <w:p>
      <w:pPr>
        <w:numPr>
          <w:ilvl w:val="0"/>
          <w:numId w:val="1002"/>
        </w:numPr>
        <w:pStyle w:val="Compact"/>
      </w:pPr>
      <w:r>
        <w:rPr>
          <w:bCs/>
          <w:b/>
        </w:rPr>
        <w:t xml:space="preserve">II. Co-Design</w:t>
      </w:r>
      <w:r>
        <w:t xml:space="preserve">: A participatory professional development model using Medellín's "Escuela de Barrio" community networks to deliver context-relevant training.</w:t>
      </w:r>
    </w:p>
    <w:p>
      <w:pPr>
        <w:numPr>
          <w:ilvl w:val="0"/>
          <w:numId w:val="1002"/>
        </w:numPr>
        <w:pStyle w:val="Compact"/>
      </w:pPr>
      <w:r>
        <w:rPr>
          <w:bCs/>
          <w:b/>
        </w:rPr>
        <w:t xml:space="preserve">III. Evaluate</w:t>
      </w:r>
      <w:r>
        <w:t xml:space="preserve">: The impact of this model on teacher efficacy (measured via the TESOL Teacher Efficacy Scale) and student outcomes in three pilot schools.</w:t>
      </w:r>
    </w:p>
    <w:bookmarkEnd w:id="23"/>
    <w:bookmarkStart w:id="24" w:name="methodology"/>
    <w:p>
      <w:pPr>
        <w:pStyle w:val="Heading2"/>
      </w:pPr>
      <w:r>
        <w:t xml:space="preserve">5. Methodology</w:t>
      </w:r>
    </w:p>
    <w:p>
      <w:pPr>
        <w:pStyle w:val="FirstParagraph"/>
      </w:pPr>
      <w:r>
        <w:t xml:space="preserve">A mixed-methods, action-research approach will be employed over 18 months, grounded in Colombia's National Educational Research Standards (Resolución 0968 de 2019).</w:t>
      </w:r>
    </w:p>
    <w:p>
      <w:pPr>
        <w:numPr>
          <w:ilvl w:val="0"/>
          <w:numId w:val="1003"/>
        </w:numPr>
        <w:pStyle w:val="Compact"/>
      </w:pPr>
      <w:r>
        <w:rPr>
          <w:bCs/>
          <w:b/>
        </w:rPr>
        <w:t xml:space="preserve">Phase 1 (Months 1-4)</w:t>
      </w:r>
      <w:r>
        <w:t xml:space="preserve">: Quantitative survey of all public primary teachers in Medellín (n=2,500) via the Colombian Ministry's School Data Platform, assessing competencies in digital pedagogy, trauma-informed teaching, and curriculum adaptation. Stratified sampling will prioritize high-poverty communes.</w:t>
      </w:r>
    </w:p>
    <w:p>
      <w:pPr>
        <w:numPr>
          <w:ilvl w:val="0"/>
          <w:numId w:val="1003"/>
        </w:numPr>
        <w:pStyle w:val="Compact"/>
      </w:pPr>
      <w:r>
        <w:rPr>
          <w:bCs/>
          <w:b/>
        </w:rPr>
        <w:t xml:space="preserve">Phase 2 (Months 5-10)</w:t>
      </w:r>
      <w:r>
        <w:t xml:space="preserve">: Qualitative focus groups with teacher unions (SINTRAEDUCACIÓN) and community leaders from Comuna 13, La Alpujarra, and El Poblado. Triangulation will include classroom observations using the CLASS tool.</w:t>
      </w:r>
    </w:p>
    <w:p>
      <w:pPr>
        <w:numPr>
          <w:ilvl w:val="0"/>
          <w:numId w:val="1003"/>
        </w:numPr>
        <w:pStyle w:val="Compact"/>
      </w:pPr>
      <w:r>
        <w:rPr>
          <w:bCs/>
          <w:b/>
        </w:rPr>
        <w:t xml:space="preserve">Phase 3 (Months 11-18)</w:t>
      </w:r>
      <w:r>
        <w:t xml:space="preserve">: Implementation of a pilot program in three Medellín schools (two public, one private-community partnership). The model features:</w:t>
      </w:r>
    </w:p>
    <w:p>
      <w:pPr>
        <w:numPr>
          <w:ilvl w:val="1"/>
          <w:numId w:val="1004"/>
        </w:numPr>
        <w:pStyle w:val="Compact"/>
      </w:pPr>
      <w:r>
        <w:t xml:space="preserve">Monthly peer coaching circles led by master teachers</w:t>
      </w:r>
    </w:p>
    <w:p>
      <w:pPr>
        <w:numPr>
          <w:ilvl w:val="1"/>
          <w:numId w:val="1004"/>
        </w:numPr>
        <w:pStyle w:val="Compact"/>
      </w:pPr>
      <w:r>
        <w:t xml:space="preserve">Mobile app with SEL lesson plans co-created with local artists</w:t>
      </w:r>
    </w:p>
    <w:p>
      <w:pPr>
        <w:numPr>
          <w:ilvl w:val="1"/>
          <w:numId w:val="1004"/>
        </w:numPr>
        <w:pStyle w:val="Compact"/>
      </w:pPr>
      <w:r>
        <w:t xml:space="preserve">Partnerships with Medellín's "Ecomuseo" for place-based learning modules</w:t>
      </w:r>
    </w:p>
    <w:p>
      <w:pPr>
        <w:numPr>
          <w:ilvl w:val="0"/>
          <w:numId w:val="1003"/>
        </w:numPr>
        <w:pStyle w:val="Compact"/>
      </w:pPr>
      <w:r>
        <w:rPr>
          <w:bCs/>
          <w:b/>
        </w:rPr>
        <w:t xml:space="preserve">Data Analysis</w:t>
      </w:r>
      <w:r>
        <w:t xml:space="preserve">: Thematic analysis for qualitative data; SPSS for quantitative metrics (p&lt;0.05 significance). Ethical clearance will be obtained from the University of Antioquia's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Colombia Medellín:</w:t>
      </w:r>
    </w:p>
    <w:p>
      <w:pPr>
        <w:numPr>
          <w:ilvl w:val="0"/>
          <w:numId w:val="1005"/>
        </w:numPr>
        <w:pStyle w:val="Compact"/>
      </w:pPr>
      <w:r>
        <w:rPr>
          <w:bCs/>
          <w:b/>
        </w:rPr>
        <w:t xml:space="preserve">Practical Impact</w:t>
      </w:r>
      <w:r>
        <w:t xml:space="preserve">: A replicable "Medellín Primary Teacher Toolkit" addressing context-specific barriers, directly supporting the city's 2030 Education Plan.</w:t>
      </w:r>
    </w:p>
    <w:p>
      <w:pPr>
        <w:numPr>
          <w:ilvl w:val="0"/>
          <w:numId w:val="1005"/>
        </w:numPr>
        <w:pStyle w:val="Compact"/>
      </w:pPr>
      <w:r>
        <w:rPr>
          <w:bCs/>
          <w:b/>
        </w:rPr>
        <w:t xml:space="preserve">Theoretical Contribution</w:t>
      </w:r>
      <w:r>
        <w:t xml:space="preserve">: Advancing Urban Teacher Development Theory by demonstrating how Colombia Medellín’s cultural identity (e.g., "Paisa" pedagogical values) must inform professional growth—not merely importing international models.</w:t>
      </w:r>
    </w:p>
    <w:p>
      <w:pPr>
        <w:numPr>
          <w:ilvl w:val="0"/>
          <w:numId w:val="1005"/>
        </w:numPr>
        <w:pStyle w:val="Compact"/>
      </w:pPr>
      <w:r>
        <w:rPr>
          <w:bCs/>
          <w:b/>
        </w:rPr>
        <w:t xml:space="preserve">Policy Influence</w:t>
      </w:r>
      <w:r>
        <w:t xml:space="preserve">: Findings will be presented to the Medellín City Council Education Committee and the National Ministry of Education, targeting integration into Colombia’s Teacher Training Reform (2025). The research explicitly aligns with SDG 4.1 (quality education) and Colombia's "Vivir Bien" educational philosophy.</w:t>
      </w:r>
    </w:p>
    <w:p>
      <w:pPr>
        <w:pStyle w:val="FirstParagraph"/>
      </w:pPr>
      <w:r>
        <w:t xml:space="preserve">Critically, success will be measured not by teacher attendance alone but by student learning gains—using the Cundinamarca Student Assessment System (ECA) data—to ensure</w:t>
      </w:r>
      <w:r>
        <w:t xml:space="preserve"> </w:t>
      </w:r>
      <w:r>
        <w:rPr>
          <w:iCs/>
          <w:i/>
        </w:rPr>
        <w:t xml:space="preserve">Teacher Primary</w:t>
      </w:r>
      <w:r>
        <w:t xml:space="preserve"> </w:t>
      </w:r>
      <w:r>
        <w:t xml:space="preserve">development directly serves Colombia Medellín’s children.</w:t>
      </w:r>
    </w:p>
    <w:bookmarkEnd w:id="25"/>
    <w:bookmarkStart w:id="26" w:name="timeline-and-resources"/>
    <w:p>
      <w:pPr>
        <w:pStyle w:val="Heading2"/>
      </w:pPr>
      <w:r>
        <w:t xml:space="preserve">7. Timeline and Resources</w:t>
      </w:r>
    </w:p>
    <w:p>
      <w:pPr>
        <w:pStyle w:val="FirstParagraph"/>
      </w:pPr>
      <w:r>
        <w:t xml:space="preserve">The project will commence with institutional partnerships:</w:t>
      </w:r>
    </w:p>
    <w:p>
      <w:pPr>
        <w:numPr>
          <w:ilvl w:val="0"/>
          <w:numId w:val="1006"/>
        </w:numPr>
        <w:pStyle w:val="Compact"/>
      </w:pPr>
      <w:r>
        <w:rPr>
          <w:bCs/>
          <w:b/>
        </w:rPr>
        <w:t xml:space="preserve">Month 1-2</w:t>
      </w:r>
      <w:r>
        <w:t xml:space="preserve">: Formal agreements with Medellín's Secretaría de Educación and Universidad de Antioquia’s School of Education.</w:t>
      </w:r>
    </w:p>
    <w:p>
      <w:pPr>
        <w:numPr>
          <w:ilvl w:val="0"/>
          <w:numId w:val="1006"/>
        </w:numPr>
        <w:pStyle w:val="Compact"/>
      </w:pPr>
      <w:r>
        <w:rPr>
          <w:bCs/>
          <w:b/>
        </w:rPr>
        <w:t xml:space="preserve">Month 3-6</w:t>
      </w:r>
      <w:r>
        <w:t xml:space="preserve">: Survey deployment, focus group recruitment, and tool validation.</w:t>
      </w:r>
    </w:p>
    <w:p>
      <w:pPr>
        <w:numPr>
          <w:ilvl w:val="0"/>
          <w:numId w:val="1006"/>
        </w:numPr>
        <w:pStyle w:val="Compact"/>
      </w:pPr>
      <w:r>
        <w:rPr>
          <w:bCs/>
          <w:b/>
        </w:rPr>
        <w:t xml:space="preserve">Month 7-12</w:t>
      </w:r>
      <w:r>
        <w:t xml:space="preserve">: Pilot program rollout with bi-weekly support from university mentors.</w:t>
      </w:r>
    </w:p>
    <w:p>
      <w:pPr>
        <w:numPr>
          <w:ilvl w:val="0"/>
          <w:numId w:val="1006"/>
        </w:numPr>
        <w:pStyle w:val="Compact"/>
      </w:pPr>
      <w:r>
        <w:rPr>
          <w:bCs/>
          <w:b/>
        </w:rPr>
        <w:t xml:space="preserve">Month 13-18</w:t>
      </w:r>
      <w:r>
        <w:t xml:space="preserve">: Impact analysis, toolkit finalization, and policy brief creation.</w:t>
      </w:r>
    </w:p>
    <w:p>
      <w:pPr>
        <w:pStyle w:val="FirstParagraph"/>
      </w:pPr>
      <w:r>
        <w:t xml:space="preserve">Required resources include a $45,000 budget for teacher stipends (per Colombia's Rectoría de Educación), mobile data for app access, and collaboration with Medellín’s "Casa del Saber" community centers. All materials will be produced in Spanish and English to facilitate future international adaptation.</w:t>
      </w:r>
    </w:p>
    <w:bookmarkEnd w:id="26"/>
    <w:bookmarkStart w:id="27" w:name="conclusion"/>
    <w:p>
      <w:pPr>
        <w:pStyle w:val="Heading2"/>
      </w:pPr>
      <w:r>
        <w:t xml:space="preserve">8. Conclusion</w:t>
      </w:r>
    </w:p>
    <w:p>
      <w:pPr>
        <w:pStyle w:val="FirstParagraph"/>
      </w:pPr>
      <w:r>
        <w:t xml:space="preserve">In a city where education has been instrumental in transforming Medellín from a violence-ridden metropolis to a global model of social innovation, this Thesis Proposal centers the indispensable role of the</w:t>
      </w:r>
      <w:r>
        <w:t xml:space="preserve"> </w:t>
      </w:r>
      <w:r>
        <w:rPr>
          <w:iCs/>
          <w:i/>
        </w:rPr>
        <w:t xml:space="preserve">Teacher Primary</w:t>
      </w:r>
      <w:r>
        <w:t xml:space="preserve">. By grounding professional development in Colombia Medellín’s unique urban reality—its resilience, cultural richness, and persistent inequities—this research transcends academic inquiry to fuel tangible change. It will empower teachers not just as instructors but as community architects, ensuring every child in Medellín’s classrooms receives education worthy of Colombia's promise for a brighter future. This study is not merely a</w:t>
      </w:r>
      <w:r>
        <w:t xml:space="preserve"> </w:t>
      </w:r>
      <w:r>
        <w:rPr>
          <w:iCs/>
          <w:i/>
        </w:rPr>
        <w:t xml:space="preserve">Thesis Proposal</w:t>
      </w:r>
      <w:r>
        <w:t xml:space="preserve">; it is an investment in the city's most vital resource: its educators.</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Primary Development in Colombia Medellín</dc:title>
  <dc:creator/>
  <dc:language>en</dc:language>
  <cp:keywords/>
  <dcterms:created xsi:type="dcterms:W3CDTF">2026-07-23T15:17:39Z</dcterms:created>
  <dcterms:modified xsi:type="dcterms:W3CDTF">2026-07-23T15:17:39Z</dcterms:modified>
</cp:coreProperties>
</file>

<file path=docProps/custom.xml><?xml version="1.0" encoding="utf-8"?>
<Properties xmlns="http://schemas.openxmlformats.org/officeDocument/2006/custom-properties" xmlns:vt="http://schemas.openxmlformats.org/officeDocument/2006/docPropsVTypes"/>
</file>