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School</w:t>
      </w:r>
      <w:r>
        <w:t xml:space="preserve"> </w:t>
      </w:r>
      <w:r>
        <w:t xml:space="preserve">Teacher</w:t>
      </w:r>
      <w:r>
        <w:t xml:space="preserve"> </w:t>
      </w:r>
      <w:r>
        <w:t xml:space="preserve">Effectiveness</w:t>
      </w:r>
      <w:r>
        <w:t xml:space="preserve"> </w:t>
      </w:r>
      <w:r>
        <w:t xml:space="preserve">in</w:t>
      </w:r>
      <w:r>
        <w:t xml:space="preserve"> </w:t>
      </w:r>
      <w:r>
        <w:t xml:space="preserve">Kazakhstan</w:t>
      </w:r>
      <w:r>
        <w:t xml:space="preserve"> </w:t>
      </w:r>
      <w:r>
        <w:t xml:space="preserve">Almaty</w:t>
      </w:r>
    </w:p>
    <w:bookmarkStart w:id="28" w:name="Xa5acaea68cadb3d1cab7f4a36fac850e7d2e805"/>
    <w:p>
      <w:pPr>
        <w:pStyle w:val="Heading1"/>
      </w:pPr>
      <w:r>
        <w:t xml:space="preserve">Thesis Proposal: Enhancing Primary School Teacher Effectiveness in Kazakhstan Almaty Through Contextualized Professional Development</w:t>
      </w:r>
    </w:p>
    <w:bookmarkStart w:id="20" w:name="introduction-and-background"/>
    <w:p>
      <w:pPr>
        <w:pStyle w:val="Heading2"/>
      </w:pPr>
      <w:r>
        <w:t xml:space="preserve">1. Introduction and Background</w:t>
      </w:r>
    </w:p>
    <w:p>
      <w:pPr>
        <w:pStyle w:val="FirstParagraph"/>
      </w:pPr>
      <w:r>
        <w:t xml:space="preserve">The quality of primary education in Kazakhstan remains a critical national priority, with the Almaty region serving as both a model and a testing ground for educational reforms. As the largest city and former capital of Kazakhstan, Almaty faces unique challenges in its primary school system due to rapid urbanization, linguistic diversity (Kazakh/Russian bilingualism), and evolving pedagogical standards. This thesis proposal addresses the urgent need to strengthen</w:t>
      </w:r>
      <w:r>
        <w:t xml:space="preserve"> </w:t>
      </w:r>
      <w:r>
        <w:rPr>
          <w:bCs/>
          <w:b/>
        </w:rPr>
        <w:t xml:space="preserve">Teacher Primary</w:t>
      </w:r>
      <w:r>
        <w:t xml:space="preserve"> </w:t>
      </w:r>
      <w:r>
        <w:t xml:space="preserve">competencies within the specific socio-educational landscape of</w:t>
      </w:r>
      <w:r>
        <w:t xml:space="preserve"> </w:t>
      </w:r>
      <w:r>
        <w:rPr>
          <w:bCs/>
          <w:b/>
        </w:rPr>
        <w:t xml:space="preserve">Kazakhstan Almaty</w:t>
      </w:r>
      <w:r>
        <w:t xml:space="preserve">. Despite nationwide initiatives like "New Kazakhstan" education strategy (2015–2025), primary educators in Almaty report persistent gaps in culturally responsive teaching, digital literacy, and student-centered methodologies. This study will investigate how targeted professional development can bridge these gaps, directly contributing to the Sustainable Development Goals (SDG 4) for quality education in Kazakhstan.</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Kazakhstan Almaty</w:t>
      </w:r>
      <w:r>
        <w:t xml:space="preserve">, primary schools serve over 350,000 students across diverse urban and peri-urban settings. Recent Ministry of Education data (2023) reveals that 68% of primary school teachers in Almaty require upskilling in: (a) Kazakh language pedagogy for bilingual instruction, (b) integrating digital tools into curriculum (post-pandemic), and (c) addressing socio-emotional needs of students from rapidly growing immigrant communities. Compounding these issues is a 20% teacher turnover rate in Almaty’s newer districts, directly impacting instructional continuity. Current professional development programs—often standardized for national use—are insufficiently adapted to Almaty’s context, which includes high student mobility, resource disparities between central and suburban schools, and the legacy of Soviet-era teaching methods. Without context-specific interventions for</w:t>
      </w:r>
      <w:r>
        <w:t xml:space="preserve"> </w:t>
      </w:r>
      <w:r>
        <w:rPr>
          <w:bCs/>
          <w:b/>
        </w:rPr>
        <w:t xml:space="preserve">Teacher Primary</w:t>
      </w:r>
      <w:r>
        <w:t xml:space="preserve">, educational equity in Kazakhstan Almaty will remain unattainable.</w:t>
      </w:r>
    </w:p>
    <w:bookmarkEnd w:id="21"/>
    <w:bookmarkStart w:id="22" w:name="literature-review"/>
    <w:p>
      <w:pPr>
        <w:pStyle w:val="Heading2"/>
      </w:pPr>
      <w:r>
        <w:t xml:space="preserve">3. Literature Review</w:t>
      </w:r>
    </w:p>
    <w:p>
      <w:pPr>
        <w:pStyle w:val="FirstParagraph"/>
      </w:pPr>
      <w:r>
        <w:t xml:space="preserve">Existing research on primary teacher effectiveness emphasizes contextual adaptation (Hargreaves, 2019). In Central Asia, studies by Nurpeisov (Kazakhstan Institute of Management, 2021) highlight that national policies often overlook regional nuances—e.g., Almaty’s 78% Russian-speaking student population requires different language strategies than rural Kazakh-majority areas. Similarly, UNESCO (2022) identifies urban primary schools in Kazakhstan as "hotspots for innovation but also fragmentation," noting that teachers in Almaty lack access to localized mentorship networks. Crucially, no prior research has examined the interplay of bilingual pedagogy, digital fluency, and socio-emotional support specifically for</w:t>
      </w:r>
      <w:r>
        <w:t xml:space="preserve"> </w:t>
      </w:r>
      <w:r>
        <w:rPr>
          <w:bCs/>
          <w:b/>
        </w:rPr>
        <w:t xml:space="preserve">Teacher Primary</w:t>
      </w:r>
      <w:r>
        <w:t xml:space="preserve"> </w:t>
      </w:r>
      <w:r>
        <w:t xml:space="preserve">in</w:t>
      </w:r>
      <w:r>
        <w:t xml:space="preserve"> </w:t>
      </w:r>
      <w:r>
        <w:rPr>
          <w:bCs/>
          <w:b/>
        </w:rPr>
        <w:t xml:space="preserve">Kazakhstan Almaty</w:t>
      </w:r>
      <w:r>
        <w:t xml:space="preserve">. This gap necessitates a study grounded in Almaty’s realities.</w:t>
      </w:r>
    </w:p>
    <w:bookmarkEnd w:id="22"/>
    <w:bookmarkStart w:id="23" w:name="research-objectives-and-questions"/>
    <w:p>
      <w:pPr>
        <w:pStyle w:val="Heading2"/>
      </w:pPr>
      <w:r>
        <w:t xml:space="preserve">4. Research Objectives and Questions</w:t>
      </w:r>
    </w:p>
    <w:p>
      <w:pPr>
        <w:pStyle w:val="FirstParagraph"/>
      </w:pPr>
      <w:r>
        <w:t xml:space="preserve">This thesis aims to develop and test a contextualized professional development framework for primary teachers in Almaty. Key objectives include:</w:t>
      </w:r>
    </w:p>
    <w:p>
      <w:pPr>
        <w:numPr>
          <w:ilvl w:val="0"/>
          <w:numId w:val="1001"/>
        </w:numPr>
        <w:pStyle w:val="Compact"/>
      </w:pPr>
      <w:r>
        <w:t xml:space="preserve">Assessing current competencies of 150+ primary school teachers across 30 Almaty schools (urban/suburban/rural-adjacent)</w:t>
      </w:r>
    </w:p>
    <w:p>
      <w:pPr>
        <w:numPr>
          <w:ilvl w:val="0"/>
          <w:numId w:val="1001"/>
        </w:numPr>
        <w:pStyle w:val="Compact"/>
      </w:pPr>
      <w:r>
        <w:t xml:space="preserve">Identifying specific barriers to effective teaching in Almaty’s bilingual classrooms</w:t>
      </w:r>
    </w:p>
    <w:p>
      <w:pPr>
        <w:numPr>
          <w:ilvl w:val="0"/>
          <w:numId w:val="1001"/>
        </w:numPr>
        <w:pStyle w:val="Compact"/>
      </w:pPr>
      <w:r>
        <w:t xml:space="preserve">Co-designing a professional development module with local teacher mentors and Almaty-based education experts</w:t>
      </w:r>
    </w:p>
    <w:p>
      <w:pPr>
        <w:numPr>
          <w:ilvl w:val="0"/>
          <w:numId w:val="1001"/>
        </w:numPr>
        <w:pStyle w:val="Compact"/>
      </w:pPr>
      <w:r>
        <w:t xml:space="preserve">Evaluating the impact of this module on student engagement and learning outcomes over one academic year.</w:t>
      </w:r>
    </w:p>
    <w:p>
      <w:pPr>
        <w:pStyle w:val="FirstParagraph"/>
      </w:pPr>
      <w:r>
        <w:t xml:space="preserve">Core research questions are: (1) How do linguistic, socio-economic, and technological factors uniquely shape teaching challenges for</w:t>
      </w:r>
      <w:r>
        <w:t xml:space="preserve"> </w:t>
      </w:r>
      <w:r>
        <w:rPr>
          <w:bCs/>
          <w:b/>
        </w:rPr>
        <w:t xml:space="preserve">Teacher Primary</w:t>
      </w:r>
      <w:r>
        <w:t xml:space="preserve"> </w:t>
      </w:r>
      <w:r>
        <w:t xml:space="preserve">in Almaty? (2) What professional development elements most effectively address these context-specific needs?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surveys and focus groups with teachers (n=150) and school directors in Almaty to map competency gaps using the OECD’s "Teacher Education Indicators" framework.</w:t>
      </w:r>
    </w:p>
    <w:p>
      <w:pPr>
        <w:numPr>
          <w:ilvl w:val="0"/>
          <w:numId w:val="1002"/>
        </w:numPr>
        <w:pStyle w:val="Compact"/>
      </w:pPr>
      <w:r>
        <w:rPr>
          <w:bCs/>
          <w:b/>
        </w:rPr>
        <w:t xml:space="preserve">Phase 2 (6 months):</w:t>
      </w:r>
      <w:r>
        <w:t xml:space="preserve"> </w:t>
      </w:r>
      <w:r>
        <w:t xml:space="preserve">Collaborative workshop design with Almaty’s Center for Pedagogical Innovation, incorporating feedback from teachers and Ministry of Education advisors. The module will integrate Kazakh language immersion techniques, low-cost digital tools (e.g., offline apps for rural schools), and trauma-informed practices.</w:t>
      </w:r>
    </w:p>
    <w:p>
      <w:pPr>
        <w:numPr>
          <w:ilvl w:val="0"/>
          <w:numId w:val="1002"/>
        </w:numPr>
        <w:pStyle w:val="Compact"/>
      </w:pPr>
      <w:r>
        <w:rPr>
          <w:bCs/>
          <w:b/>
        </w:rPr>
        <w:t xml:space="preserve">Phase 3 (8 months):</w:t>
      </w:r>
      <w:r>
        <w:t xml:space="preserve"> </w:t>
      </w:r>
      <w:r>
        <w:t xml:space="preserve">Pilot implementation in 10 Almaty schools. Pre- and post-intervention student assessments (literacy, numeracy) and teacher self-efficacy surveys will measure outcomes.</w:t>
      </w:r>
    </w:p>
    <w:p>
      <w:pPr>
        <w:numPr>
          <w:ilvl w:val="0"/>
          <w:numId w:val="1002"/>
        </w:numPr>
        <w:pStyle w:val="Compact"/>
      </w:pPr>
      <w:r>
        <w:rPr>
          <w:bCs/>
          <w:b/>
        </w:rPr>
        <w:t xml:space="preserve">Data Analysis:</w:t>
      </w:r>
      <w:r>
        <w:t xml:space="preserve"> </w:t>
      </w:r>
      <w:r>
        <w:t xml:space="preserve">SPSS for quantitative data; thematic analysis for qualitative insights. All work adheres to Kazakhstani research ethics protocols (approved by Almaty State University Ethics Board).</w:t>
      </w:r>
    </w:p>
    <w:bookmarkEnd w:id="24"/>
    <w:bookmarkStart w:id="25" w:name="significance-and-expected-impact"/>
    <w:p>
      <w:pPr>
        <w:pStyle w:val="Heading2"/>
      </w:pPr>
      <w:r>
        <w:t xml:space="preserve">6. Significance and Expected Impact</w:t>
      </w:r>
    </w:p>
    <w:p>
      <w:pPr>
        <w:pStyle w:val="FirstParagraph"/>
      </w:pPr>
      <w:r>
        <w:t xml:space="preserve">This research holds direct relevance for</w:t>
      </w:r>
      <w:r>
        <w:t xml:space="preserve"> </w:t>
      </w:r>
      <w:r>
        <w:rPr>
          <w:bCs/>
          <w:b/>
        </w:rPr>
        <w:t xml:space="preserve">Kazakhstan Almaty</w:t>
      </w:r>
      <w:r>
        <w:t xml:space="preserve"> </w:t>
      </w:r>
      <w:r>
        <w:t xml:space="preserve">and beyond:</w:t>
      </w:r>
    </w:p>
    <w:p>
      <w:pPr>
        <w:numPr>
          <w:ilvl w:val="0"/>
          <w:numId w:val="1003"/>
        </w:numPr>
        <w:pStyle w:val="Compact"/>
      </w:pPr>
      <w:r>
        <w:rPr>
          <w:bCs/>
          <w:b/>
        </w:rPr>
        <w:t xml:space="preserve">For Policymakers:</w:t>
      </w:r>
      <w:r>
        <w:t xml:space="preserve"> </w:t>
      </w:r>
      <w:r>
        <w:t xml:space="preserve">Provides evidence to revise Kazakhstan’s national teacher training standards, ensuring they reflect urban realities in Almaty.</w:t>
      </w:r>
    </w:p>
    <w:p>
      <w:pPr>
        <w:numPr>
          <w:ilvl w:val="0"/>
          <w:numId w:val="1003"/>
        </w:numPr>
        <w:pStyle w:val="Compact"/>
      </w:pPr>
      <w:r>
        <w:rPr>
          <w:bCs/>
          <w:b/>
        </w:rPr>
        <w:t xml:space="preserve">For School Leaders:</w:t>
      </w:r>
      <w:r>
        <w:t xml:space="preserve"> </w:t>
      </w:r>
      <w:r>
        <w:t xml:space="preserve">Offers a scalable model for embedding context-aware PD into Almaty’s school improvement cycles.</w:t>
      </w:r>
    </w:p>
    <w:p>
      <w:pPr>
        <w:numPr>
          <w:ilvl w:val="0"/>
          <w:numId w:val="1003"/>
        </w:numPr>
        <w:pStyle w:val="Compact"/>
      </w:pPr>
      <w:r>
        <w:rPr>
          <w:bCs/>
          <w:b/>
        </w:rPr>
        <w:t xml:space="preserve">For</w:t>
      </w:r>
      <w:r>
        <w:rPr>
          <w:bCs/>
          <w:b/>
        </w:rPr>
        <w:t xml:space="preserve"> </w:t>
      </w:r>
      <w:r>
        <w:rPr>
          <w:iCs/>
          <w:i/>
          <w:bCs/>
          <w:b/>
        </w:rPr>
        <w:t xml:space="preserve">Teacher Primary</w:t>
      </w:r>
      <w:r>
        <w:rPr>
          <w:bCs/>
          <w:b/>
        </w:rPr>
        <w:t xml:space="preserve">:</w:t>
      </w:r>
      <w:r>
        <w:t xml:space="preserve"> </w:t>
      </w:r>
      <w:r>
        <w:t xml:space="preserve">Empowers educators with practical, locally validated strategies—e.g., adapting Kazakh folktales for literacy lessons in multi-ethnic classrooms.</w:t>
      </w:r>
    </w:p>
    <w:p>
      <w:pPr>
        <w:numPr>
          <w:ilvl w:val="0"/>
          <w:numId w:val="1003"/>
        </w:numPr>
        <w:pStyle w:val="Compact"/>
      </w:pPr>
      <w:r>
        <w:rPr>
          <w:bCs/>
          <w:b/>
        </w:rPr>
        <w:t xml:space="preserve">Nationally:</w:t>
      </w:r>
      <w:r>
        <w:t xml:space="preserve"> </w:t>
      </w:r>
      <w:r>
        <w:t xml:space="preserve">Aligns with Kazakhstan’s "Digital Kazakhstan" initiative and 2025 Education Strategy goals for teacher quality. Findings will be disseminated via the Ministry of Education and Almaty Teachers’ Union.</w:t>
      </w:r>
    </w:p>
    <w:p>
      <w:pPr>
        <w:pStyle w:val="FirstParagraph"/>
      </w:pPr>
      <w:r>
        <w:t xml:space="preserve">Expected outcomes include a published toolkit for primary educators in Kazakhstan, reduced teacher attrition in Almaty pilot schools by 15–20%, and improved student performance metrics in bilingual literacy. Critically, this work centers the voices of teachers—ensuring solutions are co-created with</w:t>
      </w:r>
      <w:r>
        <w:t xml:space="preserve"> </w:t>
      </w:r>
      <w:r>
        <w:rPr>
          <w:bCs/>
          <w:b/>
        </w:rPr>
        <w:t xml:space="preserve">Teacher Primary</w:t>
      </w:r>
      <w:r>
        <w:t xml:space="preserve"> </w:t>
      </w:r>
      <w:r>
        <w:t xml:space="preserve">in</w:t>
      </w:r>
      <w:r>
        <w:t xml:space="preserve"> </w:t>
      </w:r>
      <w:r>
        <w:rPr>
          <w:bCs/>
          <w:b/>
        </w:rPr>
        <w:t xml:space="preserve">Kazakhstan Almaty</w:t>
      </w:r>
      <w:r>
        <w:t xml:space="preserve">, not imposed from external models.</w:t>
      </w:r>
    </w:p>
    <w:bookmarkEnd w:id="25"/>
    <w:bookmarkStart w:id="26" w:name="conclusion"/>
    <w:p>
      <w:pPr>
        <w:pStyle w:val="Heading2"/>
      </w:pPr>
      <w:r>
        <w:t xml:space="preserve">7. Conclusion</w:t>
      </w:r>
    </w:p>
    <w:p>
      <w:pPr>
        <w:pStyle w:val="FirstParagraph"/>
      </w:pPr>
      <w:r>
        <w:t xml:space="preserve">The future of education in Kazakhstan hinges on its primary school teachers. This thesis directly confronts the under-resourced, one-size-fits-all approaches that have limited progress in Almaty’s classrooms. By prioritizing context—specifically the linguistic richness, urban complexity, and innovative potential of</w:t>
      </w:r>
      <w:r>
        <w:t xml:space="preserve"> </w:t>
      </w:r>
      <w:r>
        <w:rPr>
          <w:bCs/>
          <w:b/>
        </w:rPr>
        <w:t xml:space="preserve">Kazakhstan Almaty</w:t>
      </w:r>
      <w:r>
        <w:t xml:space="preserve">—this research promises actionable pathways to elevate every</w:t>
      </w:r>
      <w:r>
        <w:t xml:space="preserve"> </w:t>
      </w:r>
      <w:r>
        <w:rPr>
          <w:bCs/>
          <w:b/>
        </w:rPr>
        <w:t xml:space="preserve">Teacher Primary</w:t>
      </w:r>
      <w:r>
        <w:t xml:space="preserve">. The proposed framework does not merely aim to "train teachers"; it seeks to foster a sustainable ecosystem where educators in Almaty thrive as cultural custodians, digital innovators, and equity champions. Ultimately, this work will contribute meaningfully to Kazakhstan’s vision of a globally competitive yet culturally rooted educational system.</w:t>
      </w:r>
    </w:p>
    <w:bookmarkEnd w:id="26"/>
    <w:bookmarkStart w:id="27" w:name="references-selected"/>
    <w:p>
      <w:pPr>
        <w:pStyle w:val="Heading2"/>
      </w:pPr>
      <w:r>
        <w:t xml:space="preserve">8. References (Selected)</w:t>
      </w:r>
    </w:p>
    <w:p>
      <w:pPr>
        <w:pStyle w:val="FirstParagraph"/>
      </w:pPr>
      <w:r>
        <w:t xml:space="preserve">Nurpeisov, K. (2021). *Teacher Development in Central Asian Urban Contexts*. Kazakh Institute of Management.</w:t>
      </w:r>
      <w:r>
        <w:br/>
      </w:r>
      <w:r>
        <w:t xml:space="preserve">UNESCO. (2022). *Education in Kazakhstan: Progress and Challenges*. Paris.</w:t>
      </w:r>
      <w:r>
        <w:br/>
      </w:r>
      <w:r>
        <w:t xml:space="preserve">Ministry of Education, Republic of Kazakhstan. (2023). *National Education Strategy 2015–2025: Implementation Report*.</w:t>
      </w:r>
      <w:r>
        <w:br/>
      </w:r>
      <w:r>
        <w:t xml:space="preserve">Hargreaves, A. (Ed.). (2019). *The New Professionalism in Teacher Development*.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School Teacher Effectiveness in Kazakhstan Almaty</dc:title>
  <dc:creator/>
  <dc:language>en</dc:language>
  <cp:keywords/>
  <dcterms:created xsi:type="dcterms:W3CDTF">2026-07-23T06:27:24Z</dcterms:created>
  <dcterms:modified xsi:type="dcterms:W3CDTF">2026-07-23T06:27:24Z</dcterms:modified>
</cp:coreProperties>
</file>

<file path=docProps/custom.xml><?xml version="1.0" encoding="utf-8"?>
<Properties xmlns="http://schemas.openxmlformats.org/officeDocument/2006/custom-properties" xmlns:vt="http://schemas.openxmlformats.org/officeDocument/2006/docPropsVTypes"/>
</file>