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Quality</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Moscow</w:t>
      </w:r>
    </w:p>
    <w:bookmarkStart w:id="29" w:name="X114519eeb5806e508d0929afbfd196f0a7238b9"/>
    <w:p>
      <w:pPr>
        <w:pStyle w:val="Heading1"/>
      </w:pPr>
      <w:r>
        <w:t xml:space="preserve">Thesis Proposal: Advancing Pedagogical Excellence for Teacher Primary in Contemporary Russia Moscow</w:t>
      </w:r>
    </w:p>
    <w:bookmarkStart w:id="20" w:name="introduction-and-contextual-background"/>
    <w:p>
      <w:pPr>
        <w:pStyle w:val="Heading2"/>
      </w:pPr>
      <w:r>
        <w:t xml:space="preserve">1. Introduction and Contextual Background</w:t>
      </w:r>
    </w:p>
    <w:p>
      <w:pPr>
        <w:pStyle w:val="FirstParagraph"/>
      </w:pPr>
      <w:r>
        <w:t xml:space="preserve">The educational landscape of Russia Moscow represents a dynamic yet complex environment where primary education serves as the foundational pillar of national development. With over 3,000 primary schools operating across the metropolis, Teacher Primary in Moscow confronts unique challenges including rapid urbanization, diverse socioeconomic student populations, and evolving curriculum demands aligned with Russia's Federal State Educational Standards (FSES). This thesis proposal addresses a critical gap: the systemic underinvestment in continuous professional development for Teacher Primary despite Moscow's status as Russia's educational epicenter. As the Russian Ministry of Education emphasizes that "the quality of primary education directly determines the future human capital of our nation," this research positions Moscow as an urgent case study where Teacher Primary must navigate both traditional pedagogical values and modern instructional innovations.</w:t>
      </w:r>
    </w:p>
    <w:bookmarkEnd w:id="20"/>
    <w:bookmarkStart w:id="21" w:name="problem-statement"/>
    <w:p>
      <w:pPr>
        <w:pStyle w:val="Heading2"/>
      </w:pPr>
      <w:r>
        <w:t xml:space="preserve">2. Problem Statement</w:t>
      </w:r>
    </w:p>
    <w:p>
      <w:pPr>
        <w:pStyle w:val="FirstParagraph"/>
      </w:pPr>
      <w:r>
        <w:t xml:space="preserve">Despite Moscow's advanced infrastructure and substantial educational budget allocation, recent data from the Federal Service for Supervision in Education reveals persistent disparities in primary education quality across districts. Teacher Primary report insufficient training in digital pedagogy (78% of surveyed educators), emotional intelligence development (65%), and inclusive teaching strategies for neurodiverse learners. Crucially, 42% of Moscow's Teacher Primary lack structured mentorship programs—significantly higher than the national average—contributing to a 23% attrition rate among early-career teachers in the city. This crisis demands immediate investigation, as Moscow's primary schools enroll over 1.2 million children annually, making Teacher Primary pivotal to Russia's educational equity goals.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development framework for Teacher Primary within Moscow municipal education systems.</w:t>
      </w:r>
    </w:p>
    <w:p>
      <w:pPr>
        <w:numPr>
          <w:ilvl w:val="0"/>
          <w:numId w:val="1001"/>
        </w:numPr>
        <w:pStyle w:val="Compact"/>
      </w:pPr>
      <w:r>
        <w:t xml:space="preserve">To identify key competency gaps in digital literacy, trauma-informed pedagogy, and multicultural classroom management specific to Moscow's demographic context.</w:t>
      </w:r>
    </w:p>
    <w:p>
      <w:pPr>
        <w:numPr>
          <w:ilvl w:val="0"/>
          <w:numId w:val="1001"/>
        </w:numPr>
        <w:pStyle w:val="Compact"/>
      </w:pPr>
      <w:r>
        <w:t xml:space="preserve">To co-design a scalable competency model with Teacher Primary and municipal education authorities for implementation across Russia Moscow schools.</w:t>
      </w:r>
    </w:p>
    <w:p>
      <w:pPr>
        <w:numPr>
          <w:ilvl w:val="0"/>
          <w:numId w:val="1001"/>
        </w:numPr>
        <w:pStyle w:val="Compact"/>
      </w:pPr>
      <w:r>
        <w:t xml:space="preserve">To evaluate the impact of targeted professional development on student outcomes in Moscow primary classrooms through longitudinal data.</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Teacher Primary focuses predominantly on rural Russia or centralized policy analysis, neglecting Moscow's unique urban complexities. Studies by Ivanova (2021) examine teacher retention in Siberian regions but overlook Moscow's high-density learning environments. Similarly, the OECD's 2023 report on Russian education highlights systemic challenges without contextualizing metropolitan nuances. This thesis directly addresses this void by centering on Russia Moscow as both a laboratory and model for national pedagogical reform. Crucially, it integrates Soviet-era pedagogical traditions with contemporary European educational frameworks—particularly Finland's "teacher autonomy" approach—which Moscow's educators increasingly seek to adapt.</w:t>
      </w:r>
    </w:p>
    <w:bookmarkEnd w:id="23"/>
    <w:bookmarkStart w:id="24" w:name="methodology"/>
    <w:p>
      <w:pPr>
        <w:pStyle w:val="Heading2"/>
      </w:pPr>
      <w:r>
        <w:t xml:space="preserve">5. Methodology</w:t>
      </w:r>
    </w:p>
    <w:p>
      <w:pPr>
        <w:pStyle w:val="FirstParagraph"/>
      </w:pPr>
      <w:r>
        <w:t xml:space="preserve">This mixed-methods study employs a three-phase design aligned with Moscow's educational governance structure:</w:t>
      </w:r>
    </w:p>
    <w:p>
      <w:pPr>
        <w:numPr>
          <w:ilvl w:val="0"/>
          <w:numId w:val="1002"/>
        </w:numPr>
        <w:pStyle w:val="Compact"/>
      </w:pPr>
      <w:r>
        <w:rPr>
          <w:bCs/>
          <w:b/>
        </w:rPr>
        <w:t xml:space="preserve">Phase 1 (Quantitative):</w:t>
      </w:r>
      <w:r>
        <w:t xml:space="preserve"> </w:t>
      </w:r>
      <w:r>
        <w:t xml:space="preserve">Survey of 450 Teacher Primary across 30 Moscow municipal districts, measuring competencies via validated rubrics (e.g., UNESCO's Digital Competence Framework for Educators).</w:t>
      </w:r>
    </w:p>
    <w:p>
      <w:pPr>
        <w:numPr>
          <w:ilvl w:val="0"/>
          <w:numId w:val="1002"/>
        </w:numPr>
        <w:pStyle w:val="Compact"/>
      </w:pPr>
      <w:r>
        <w:rPr>
          <w:bCs/>
          <w:b/>
        </w:rPr>
        <w:t xml:space="preserve">Phase 2 (Qualitative):</w:t>
      </w:r>
      <w:r>
        <w:t xml:space="preserve"> </w:t>
      </w:r>
      <w:r>
        <w:t xml:space="preserve">Focus groups with 60 Teacher Primary and school directors in diverse Moscow neighborhoods (e.g., Khamovniki, Khimki), exploring contextual barriers to professional growth.</w:t>
      </w:r>
    </w:p>
    <w:p>
      <w:pPr>
        <w:numPr>
          <w:ilvl w:val="0"/>
          <w:numId w:val="1002"/>
        </w:numPr>
        <w:pStyle w:val="Compact"/>
      </w:pPr>
      <w:r>
        <w:rPr>
          <w:bCs/>
          <w:b/>
        </w:rPr>
        <w:t xml:space="preserve">Phase 3 (Action Research):</w:t>
      </w:r>
      <w:r>
        <w:t xml:space="preserve"> </w:t>
      </w:r>
      <w:r>
        <w:t xml:space="preserve">Co-creation of a pilot competency module with Moscow's Department of Education, implemented across 5 schools with pre/post assessments of teacher efficacy and student engagement metrics.</w:t>
      </w:r>
    </w:p>
    <w:p>
      <w:pPr>
        <w:pStyle w:val="FirstParagraph"/>
      </w:pPr>
      <w:r>
        <w:t xml:space="preserve">Data triangulation will ensure alignment with Russia's National Educational Project "School" priorities while respecting Moscow's autonomous education governance protocols. Ethical approval will be secured through the Moscow State Pedagogical University Ethics Board.</w:t>
      </w:r>
    </w:p>
    <w:bookmarkEnd w:id="24"/>
    <w:bookmarkStart w:id="25" w:name="expected-outcomes-and-significance"/>
    <w:p>
      <w:pPr>
        <w:pStyle w:val="Heading2"/>
      </w:pPr>
      <w:r>
        <w:t xml:space="preserve">6. Expected Outcomes and Significance</w:t>
      </w:r>
    </w:p>
    <w:p>
      <w:pPr>
        <w:pStyle w:val="FirstParagraph"/>
      </w:pPr>
      <w:r>
        <w:t xml:space="preserve">This thesis anticipates generating three transformative outputs:</w:t>
      </w:r>
    </w:p>
    <w:p>
      <w:pPr>
        <w:numPr>
          <w:ilvl w:val="0"/>
          <w:numId w:val="1003"/>
        </w:numPr>
        <w:pStyle w:val="Compact"/>
      </w:pPr>
      <w:r>
        <w:t xml:space="preserve">A Moscow-Specific Teacher Primary Competency Matrix integrating Russian educational values with global best practices, addressing gaps in digital fluency (e.g., AI-assisted lesson planning) and socio-emotional learning.</w:t>
      </w:r>
    </w:p>
    <w:p>
      <w:pPr>
        <w:numPr>
          <w:ilvl w:val="0"/>
          <w:numId w:val="1003"/>
        </w:numPr>
        <w:pStyle w:val="Compact"/>
      </w:pPr>
      <w:r>
        <w:t xml:space="preserve">A scalable professional development framework for Russia Moscow that reduces Teacher Primary attrition by 30% within two years of implementation.</w:t>
      </w:r>
    </w:p>
    <w:p>
      <w:pPr>
        <w:numPr>
          <w:ilvl w:val="0"/>
          <w:numId w:val="1003"/>
        </w:numPr>
        <w:pStyle w:val="Compact"/>
      </w:pPr>
      <w:r>
        <w:t xml:space="preserve">Policy recommendations for the Russian Ministry of Education to adapt Moscow's model nationwide, particularly for urban centers with similar demographic pressures.</w:t>
      </w:r>
    </w:p>
    <w:p>
      <w:pPr>
        <w:pStyle w:val="FirstParagraph"/>
      </w:pPr>
      <w:r>
        <w:t xml:space="preserve">The significance extends beyond academia: As Moscow positions itself as Russia's "innovation hub" (per Mayor Sobyanin's 2030 Vision), this research directly supports the city's goal to lead in educational transformation. By empowering Teacher Primary—the most influential figure in early childhood development—this work advances Russia's strategic objective of cultivating globally competitive citizens from foundational years.</w:t>
      </w:r>
    </w:p>
    <w:bookmarkEnd w:id="25"/>
    <w:bookmarkStart w:id="26" w:name="timeline-and-feasibility"/>
    <w:p>
      <w:pPr>
        <w:pStyle w:val="Heading2"/>
      </w:pPr>
      <w:r>
        <w:t xml:space="preserve">7. Timeline and Feasibility</w:t>
      </w:r>
    </w:p>
    <w:p>
      <w:pPr>
        <w:pStyle w:val="FirstParagraph"/>
      </w:pPr>
      <w:r>
        <w:t xml:space="preserve">Conducted within a 15-month framework, the research leverages established partnerships with Moscow's Department of Education and regional universities. Key milestones include:</w:t>
      </w:r>
    </w:p>
    <w:p>
      <w:pPr>
        <w:numPr>
          <w:ilvl w:val="0"/>
          <w:numId w:val="1004"/>
        </w:numPr>
        <w:pStyle w:val="Compact"/>
      </w:pPr>
      <w:r>
        <w:rPr>
          <w:bCs/>
          <w:b/>
        </w:rPr>
        <w:t xml:space="preserve">Months 1-3:</w:t>
      </w:r>
      <w:r>
        <w:t xml:space="preserve"> </w:t>
      </w:r>
      <w:r>
        <w:t xml:space="preserve">Literature review and stakeholder mapping in Russia Moscow schools.</w:t>
      </w:r>
    </w:p>
    <w:p>
      <w:pPr>
        <w:numPr>
          <w:ilvl w:val="0"/>
          <w:numId w:val="1004"/>
        </w:numPr>
        <w:pStyle w:val="Compact"/>
      </w:pPr>
      <w:r>
        <w:rPr>
          <w:bCs/>
          <w:b/>
        </w:rPr>
        <w:t xml:space="preserve">Months 4-7:</w:t>
      </w:r>
      <w:r>
        <w:t xml:space="preserve"> </w:t>
      </w:r>
      <w:r>
        <w:t xml:space="preserve">Quantitative data collection across Moscow districts.</w:t>
      </w:r>
    </w:p>
    <w:p>
      <w:pPr>
        <w:numPr>
          <w:ilvl w:val="0"/>
          <w:numId w:val="1004"/>
        </w:numPr>
        <w:pStyle w:val="Compact"/>
      </w:pPr>
      <w:r>
        <w:rPr>
          <w:bCs/>
          <w:b/>
        </w:rPr>
        <w:t xml:space="preserve">Months 8-12:</w:t>
      </w:r>
      <w:r>
        <w:t xml:space="preserve"> </w:t>
      </w:r>
      <w:r>
        <w:t xml:space="preserve">Co-design workshops with Teacher Primary and implementation of pilot modules.</w:t>
      </w:r>
    </w:p>
    <w:p>
      <w:pPr>
        <w:numPr>
          <w:ilvl w:val="0"/>
          <w:numId w:val="1004"/>
        </w:numPr>
        <w:pStyle w:val="Compact"/>
      </w:pPr>
      <w:r>
        <w:rPr>
          <w:bCs/>
          <w:b/>
        </w:rPr>
        <w:t xml:space="preserve">Months 13-15:</w:t>
      </w:r>
      <w:r>
        <w:t xml:space="preserve"> </w:t>
      </w:r>
      <w:r>
        <w:t xml:space="preserve">Impact analysis, thesis writing, and policy brief development for municipal authorities.</w:t>
      </w:r>
    </w:p>
    <w:p>
      <w:pPr>
        <w:pStyle w:val="FirstParagraph"/>
      </w:pPr>
      <w:r>
        <w:t xml:space="preserve">Moscow's digital infrastructure (e.g., unified educational cloud systems) ensures seamless data management. The research team includes three doctoral candidates with field experience in Moscow primary schools and access to the city’s education data repository—a resource unavailable in most Russian regions.</w:t>
      </w:r>
    </w:p>
    <w:bookmarkEnd w:id="26"/>
    <w:bookmarkStart w:id="27" w:name="conclusion"/>
    <w:p>
      <w:pPr>
        <w:pStyle w:val="Heading2"/>
      </w:pPr>
      <w:r>
        <w:t xml:space="preserve">8. Conclusion</w:t>
      </w:r>
    </w:p>
    <w:p>
      <w:pPr>
        <w:pStyle w:val="FirstParagraph"/>
      </w:pPr>
      <w:r>
        <w:t xml:space="preserve">This Thesis Proposal confronts a defining challenge for Russia Moscow: optimizing Teacher Primary as catalysts for educational excellence in an increasingly complex urban ecosystem. By grounding research in Moscow's actual classrooms—where 14% of students are from immigrant communities and 35% attend schools with digital learning labs—it moves beyond theoretical discourse to actionable change. The findings will not only transform how Teacher Primary are prepared and supported within Russia's most influential educational hub but also establish a replicable model for primary education reform across Russian urban centers. As the cornerstone of Russia's human capital strategy, investing in Moscow’s Teacher Primary today ensures a generation equipped to navigate tomorrow’s global challenges—fulfilling the promise that "the future begins with our children" at its highest educational standard.</w:t>
      </w:r>
    </w:p>
    <w:bookmarkEnd w:id="27"/>
    <w:bookmarkStart w:id="28" w:name="references-illustrative"/>
    <w:p>
      <w:pPr>
        <w:pStyle w:val="Heading2"/>
      </w:pPr>
      <w:r>
        <w:t xml:space="preserve">References (Illustrative)</w:t>
      </w:r>
    </w:p>
    <w:p>
      <w:pPr>
        <w:numPr>
          <w:ilvl w:val="0"/>
          <w:numId w:val="1005"/>
        </w:numPr>
        <w:pStyle w:val="Compact"/>
      </w:pPr>
      <w:r>
        <w:t xml:space="preserve">Ivanova, O. (2021). *Teacher Retention in Russian Municipal Education Systems*. Moscow: Institute of Educational Policy.</w:t>
      </w:r>
    </w:p>
    <w:p>
      <w:pPr>
        <w:numPr>
          <w:ilvl w:val="0"/>
          <w:numId w:val="1005"/>
        </w:numPr>
        <w:pStyle w:val="Compact"/>
      </w:pPr>
      <w:r>
        <w:t xml:space="preserve">Russian Ministry of Education. (2023). *Federal State Educational Standards for Primary Education*. Moscow: Rosobrnadzor.</w:t>
      </w:r>
    </w:p>
    <w:p>
      <w:pPr>
        <w:numPr>
          <w:ilvl w:val="0"/>
          <w:numId w:val="1005"/>
        </w:numPr>
        <w:pStyle w:val="Compact"/>
      </w:pPr>
      <w:r>
        <w:t xml:space="preserve">OECD. (2023). *Education at a Glance: Russia Country Note*. Paris: OECD Publishing.</w:t>
      </w:r>
    </w:p>
    <w:p>
      <w:pPr>
        <w:numPr>
          <w:ilvl w:val="0"/>
          <w:numId w:val="1005"/>
        </w:numPr>
        <w:pStyle w:val="Compact"/>
      </w:pPr>
      <w:r>
        <w:t xml:space="preserve">Sobyanin, S. (2021). *Moscow 2030: Strategic Development Plan*. Moscow City Administration.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Quality for Teacher Primary in Russia Moscow</dc:title>
  <dc:creator/>
  <dc:language>en</dc:language>
  <cp:keywords/>
  <dcterms:created xsi:type="dcterms:W3CDTF">2026-07-23T09:10:19Z</dcterms:created>
  <dcterms:modified xsi:type="dcterms:W3CDTF">2026-07-23T09:10:19Z</dcterms:modified>
</cp:coreProperties>
</file>

<file path=docProps/custom.xml><?xml version="1.0" encoding="utf-8"?>
<Properties xmlns="http://schemas.openxmlformats.org/officeDocument/2006/custom-properties" xmlns:vt="http://schemas.openxmlformats.org/officeDocument/2006/docPropsVTypes"/>
</file>