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Competencies</w:t>
      </w:r>
      <w:r>
        <w:t xml:space="preserve"> </w:t>
      </w:r>
      <w:r>
        <w:t xml:space="preserve">in</w:t>
      </w:r>
      <w:r>
        <w:t xml:space="preserve"> </w:t>
      </w:r>
      <w:r>
        <w:t xml:space="preserve">Saint</w:t>
      </w:r>
      <w:r>
        <w:t xml:space="preserve"> </w:t>
      </w:r>
      <w:r>
        <w:t xml:space="preserve">Petersburg's</w:t>
      </w:r>
      <w:r>
        <w:t xml:space="preserve"> </w:t>
      </w:r>
      <w:r>
        <w:t xml:space="preserve">Educational</w:t>
      </w:r>
      <w:r>
        <w:t xml:space="preserve"> </w:t>
      </w:r>
      <w:r>
        <w:t xml:space="preserve">Landscape</w:t>
      </w:r>
    </w:p>
    <w:bookmarkStart w:id="28" w:name="Xcf0dc750a9bbb64d80216fe6702666810110152"/>
    <w:p>
      <w:pPr>
        <w:pStyle w:val="Heading1"/>
      </w:pPr>
      <w:r>
        <w:t xml:space="preserve">Thesis Proposal: Advancing Pedagogical Excellence for Primary Teachers in Russia's Saint Petersburg Context</w:t>
      </w:r>
    </w:p>
    <w:bookmarkStart w:id="20" w:name="abstract"/>
    <w:p>
      <w:pPr>
        <w:pStyle w:val="Heading2"/>
      </w:pPr>
      <w:r>
        <w:t xml:space="preserve">Abstract</w:t>
      </w:r>
    </w:p>
    <w:p>
      <w:pPr>
        <w:pStyle w:val="FirstParagraph"/>
      </w:pPr>
      <w:r>
        <w:t xml:space="preserve">This thesis proposal investigates the critical need for specialized professional development frameworks tailored to</w:t>
      </w:r>
      <w:r>
        <w:t xml:space="preserve"> </w:t>
      </w:r>
      <w:r>
        <w:rPr>
          <w:iCs/>
          <w:i/>
        </w:rPr>
        <w:t xml:space="preserve">Teacher Primary</w:t>
      </w:r>
      <w:r>
        <w:t xml:space="preserve"> </w:t>
      </w:r>
      <w:r>
        <w:t xml:space="preserve">competencies within the unique socio-educational environment of Saint Petersburg, Russia. Focusing on early childhood education (ages 6–10), the study addresses systemic challenges including digital integration gaps, cultural inclusivity demands, and alignment with Russia's National Project "Education" (2021–2024). Through mixed-methods research in 15 primary schools across Saint Petersburg districts, this work aims to develop a context-specific competency model for</w:t>
      </w:r>
      <w:r>
        <w:t xml:space="preserve"> </w:t>
      </w:r>
      <w:r>
        <w:rPr>
          <w:iCs/>
          <w:i/>
        </w:rPr>
        <w:t xml:space="preserve">Teacher Primary</w:t>
      </w:r>
      <w:r>
        <w:t xml:space="preserve"> </w:t>
      </w:r>
      <w:r>
        <w:t xml:space="preserve">that bridges national policy and local classroom realities. The findings will directly inform Saint Petersburg's Department of Education strategic planning, ensuring sustainable improvements in foundational learning outcomes.</w:t>
      </w:r>
    </w:p>
    <w:bookmarkEnd w:id="20"/>
    <w:bookmarkStart w:id="21" w:name="X3f3738663efcf15eae4a686b3bbb358b7a0dee2"/>
    <w:p>
      <w:pPr>
        <w:pStyle w:val="Heading2"/>
      </w:pPr>
      <w:r>
        <w:t xml:space="preserve">1. Introduction: The Imperative for Contextualized Primary Teacher Development in Saint Petersburg</w:t>
      </w:r>
    </w:p>
    <w:p>
      <w:pPr>
        <w:pStyle w:val="FirstParagraph"/>
      </w:pPr>
      <w:r>
        <w:t xml:space="preserve">Saint Petersburg, Russia’s second-largest city and cultural capital, faces distinct challenges in primary education. With over 450 state-run primary schools serving diverse student populations—including migrants from the North Caucasus and rural communities—</w:t>
      </w:r>
      <w:r>
        <w:rPr>
          <w:iCs/>
          <w:i/>
        </w:rPr>
        <w:t xml:space="preserve">Teacher Primary</w:t>
      </w:r>
      <w:r>
        <w:t xml:space="preserve"> </w:t>
      </w:r>
      <w:r>
        <w:t xml:space="preserve">must navigate complex socioeconomic dynamics while implementing federal curricula. Recent Russian educational reforms emphasize digital literacy, emotional intelligence, and interdisciplinary learning, yet Saint Petersburg’s teachers report insufficient training in these areas (Saint Petersburg Department of Education, 2023). This gap is critical: primary years form the bedrock of lifelong learning. Without targeted support for</w:t>
      </w:r>
      <w:r>
        <w:t xml:space="preserve"> </w:t>
      </w:r>
      <w:r>
        <w:rPr>
          <w:iCs/>
          <w:i/>
        </w:rPr>
        <w:t xml:space="preserve">Teacher Primary</w:t>
      </w:r>
      <w:r>
        <w:t xml:space="preserve">, Saint Petersburg risks perpetuating achievement disparities in a city where 35% of students live in socioeconomically vulnerable neighborhoods (Rosstat, 2022). This thesis directly responds to the city’s strategic goal of "Modernizing Pedagogy for Every Child" by proposing evidence-based solutions grounded in local realities.</w:t>
      </w:r>
    </w:p>
    <w:bookmarkEnd w:id="21"/>
    <w:bookmarkStart w:id="22" w:name="X80cd5b65670b8ae7ec34a78d118ea40669e39ce"/>
    <w:p>
      <w:pPr>
        <w:pStyle w:val="Heading2"/>
      </w:pPr>
      <w:r>
        <w:t xml:space="preserve">2. Literature Review: Gaps in Russia-Specific Primary Teacher Research</w:t>
      </w:r>
    </w:p>
    <w:p>
      <w:pPr>
        <w:pStyle w:val="FirstParagraph"/>
      </w:pPr>
      <w:r>
        <w:t xml:space="preserve">Existing literature on primary education in Russia predominantly focuses on Moscow-centric models, neglecting Saint Petersburg’s unique heritage as a hub of Russian pedagogy (Druzhinin, 2020). Studies by Kuznetsova (2019) highlight national policy gaps but omit regional variables like Saint Petersburg’s 8-month winter season, which impacts classroom engagement and teacher well-being. Furthermore, research on</w:t>
      </w:r>
      <w:r>
        <w:t xml:space="preserve"> </w:t>
      </w:r>
      <w:r>
        <w:rPr>
          <w:iCs/>
          <w:i/>
        </w:rPr>
        <w:t xml:space="preserve">Teacher Primary</w:t>
      </w:r>
      <w:r>
        <w:t xml:space="preserve"> </w:t>
      </w:r>
      <w:r>
        <w:t xml:space="preserve">competencies often overlooks Saint Petersburg’s multicultural student body—over 25% of primary students speak languages other than Russian at home (SPb Education Statistics, 2023). Crucially, no comprehensive study examines how Russia’s new "Digital School" initiative (National Project "Education," 2021) functions in Saint Petersburg’s historic school buildings, many lacking modern infrastructure. This thesis fills that void by centering the city’s specific challenges.</w:t>
      </w:r>
    </w:p>
    <w:bookmarkEnd w:id="22"/>
    <w:bookmarkStart w:id="23" w:name="research-objectives-and-questions"/>
    <w:p>
      <w:pPr>
        <w:pStyle w:val="Heading2"/>
      </w:pPr>
      <w:r>
        <w:t xml:space="preserve">3. Research Objectives and Questions</w:t>
      </w:r>
    </w:p>
    <w:p>
      <w:pPr>
        <w:pStyle w:val="FirstParagraph"/>
      </w:pPr>
      <w:r>
        <w:t xml:space="preserve">The study pursues three interconnected objectives: (1) Diagnose current competency gaps among Saint Petersburg</w:t>
      </w:r>
      <w:r>
        <w:t xml:space="preserve"> </w:t>
      </w:r>
      <w:r>
        <w:rPr>
          <w:iCs/>
          <w:i/>
        </w:rPr>
        <w:t xml:space="preserve">Teacher Primary</w:t>
      </w:r>
      <w:r>
        <w:t xml:space="preserve"> </w:t>
      </w:r>
      <w:r>
        <w:t xml:space="preserve">in digital pedagogy, multilingual support, and socio-emotional learning; (2) Co-design a localized training framework with educators and Saint Petersburg education authorities; (3) Evaluate the framework’s impact on student engagement metrics. Key research questions include:</w:t>
      </w:r>
    </w:p>
    <w:p>
      <w:pPr>
        <w:numPr>
          <w:ilvl w:val="0"/>
          <w:numId w:val="1001"/>
        </w:numPr>
        <w:pStyle w:val="Compact"/>
      </w:pPr>
      <w:r>
        <w:t xml:space="preserve">How do Saint Petersburg</w:t>
      </w:r>
      <w:r>
        <w:t xml:space="preserve"> </w:t>
      </w:r>
      <w:r>
        <w:rPr>
          <w:iCs/>
          <w:i/>
        </w:rPr>
        <w:t xml:space="preserve">Teacher Primary</w:t>
      </w:r>
      <w:r>
        <w:t xml:space="preserve"> </w:t>
      </w:r>
      <w:r>
        <w:t xml:space="preserve">perceive the alignment between federal educational standards and their classroom needs?</w:t>
      </w:r>
    </w:p>
    <w:p>
      <w:pPr>
        <w:numPr>
          <w:ilvl w:val="0"/>
          <w:numId w:val="1001"/>
        </w:numPr>
        <w:pStyle w:val="Compact"/>
      </w:pPr>
      <w:r>
        <w:t xml:space="preserve">What contextual barriers hinder effective implementation of digital tools in primary classrooms across Saint Petersburg districts?</w:t>
      </w:r>
    </w:p>
    <w:p>
      <w:pPr>
        <w:numPr>
          <w:ilvl w:val="0"/>
          <w:numId w:val="1001"/>
        </w:numPr>
        <w:pStyle w:val="Compact"/>
      </w:pPr>
      <w:r>
        <w:t xml:space="preserve">How can competency development integrate Saint Petersburg’s cultural assets (e.g., Hermitage Museum partnerships, Neva River environmental education) into pedagogy?</w:t>
      </w:r>
    </w:p>
    <w:bookmarkEnd w:id="23"/>
    <w:bookmarkStart w:id="24" w:name="X514b41fc8f1c343716532b7ce2144fe3b3c6bb0"/>
    <w:p>
      <w:pPr>
        <w:pStyle w:val="Heading2"/>
      </w:pPr>
      <w:r>
        <w:t xml:space="preserve">4. Methodology: Action Research in the Saint Petersburg Ecosystem</w:t>
      </w:r>
    </w:p>
    <w:p>
      <w:pPr>
        <w:pStyle w:val="FirstParagraph"/>
      </w:pPr>
      <w:r>
        <w:t xml:space="preserve">A mixed-methods approach will be employed across three phases:</w:t>
      </w:r>
    </w:p>
    <w:p>
      <w:pPr>
        <w:numPr>
          <w:ilvl w:val="0"/>
          <w:numId w:val="1002"/>
        </w:numPr>
        <w:pStyle w:val="Compact"/>
      </w:pPr>
      <w:r>
        <w:rPr>
          <w:bCs/>
          <w:b/>
        </w:rPr>
        <w:t xml:space="preserve">Phase 1 (Months 1–3):</w:t>
      </w:r>
      <w:r>
        <w:t xml:space="preserve"> </w:t>
      </w:r>
      <w:r>
        <w:t xml:space="preserve">Surveys of 200 primary teachers and focus groups with 45 school directors across Saint Petersburg districts (Vyborgsky, Petrogradsky, Vitebsky) to map competency needs. Data will analyze correlations between teacher experience, school location (urban/rural), and resource access.</w:t>
      </w:r>
    </w:p>
    <w:p>
      <w:pPr>
        <w:numPr>
          <w:ilvl w:val="0"/>
          <w:numId w:val="1002"/>
        </w:numPr>
        <w:pStyle w:val="Compact"/>
      </w:pPr>
      <w:r>
        <w:rPr>
          <w:bCs/>
          <w:b/>
        </w:rPr>
        <w:t xml:space="preserve">Phase 2 (Months 4–7):</w:t>
      </w:r>
      <w:r>
        <w:t xml:space="preserve"> </w:t>
      </w:r>
      <w:r>
        <w:t xml:space="preserve">Collaborative design workshops with the Saint Petersburg Institute of Pedagogy and teachers to develop a competency toolkit. This includes adapting digital resources for low-bandwidth settings (addressing infrastructure gaps in historic schools) and integrating local content—e.g., lesson plans using the city’s architecture or literature.</w:t>
      </w:r>
    </w:p>
    <w:p>
      <w:pPr>
        <w:numPr>
          <w:ilvl w:val="0"/>
          <w:numId w:val="1002"/>
        </w:numPr>
        <w:pStyle w:val="Compact"/>
      </w:pPr>
      <w:r>
        <w:rPr>
          <w:bCs/>
          <w:b/>
        </w:rPr>
        <w:t xml:space="preserve">Phase 3 (Months 8–12):</w:t>
      </w:r>
      <w:r>
        <w:t xml:space="preserve"> </w:t>
      </w:r>
      <w:r>
        <w:t xml:space="preserve">Pilot implementation in 5 partner schools. Quantitative data (student engagement surveys, assessment scores) will be triangulated with qualitative teacher diaries and classroom observations to measure impact.</w:t>
      </w:r>
    </w:p>
    <w:p>
      <w:pPr>
        <w:pStyle w:val="FirstParagraph"/>
      </w:pPr>
      <w:r>
        <w:t xml:space="preserve">All research adheres to Russian ethical standards and obtains approval from Saint Petersburg State University’s Research Ethics Board.</w:t>
      </w:r>
    </w:p>
    <w:bookmarkEnd w:id="24"/>
    <w:bookmarkStart w:id="25" w:name="X6765309dfe600ef94e450ee9470588b84f5741a"/>
    <w:p>
      <w:pPr>
        <w:pStyle w:val="Heading2"/>
      </w:pPr>
      <w:r>
        <w:t xml:space="preserve">5. Expected Outcomes and Significance for Russia Saint Petersburg</w:t>
      </w:r>
    </w:p>
    <w:p>
      <w:pPr>
        <w:pStyle w:val="FirstParagraph"/>
      </w:pPr>
      <w:r>
        <w:t xml:space="preserve">This thesis will deliver two transformative outputs: (1) A publicly accessible "Saint Petersburg Primary Teacher Competency Framework" co-authored with city education officials, directly usable in professional development programs; (2) A digital repository of localized teaching resources—such as multilingual flashcards for immigrant students or winter-themed STEM activities—addressing Saint Petersburg’s unique seasonal and cultural context. The framework’s significance extends beyond pedagogy: by improving</w:t>
      </w:r>
      <w:r>
        <w:t xml:space="preserve"> </w:t>
      </w:r>
      <w:r>
        <w:rPr>
          <w:iCs/>
          <w:i/>
        </w:rPr>
        <w:t xml:space="preserve">Teacher Primary</w:t>
      </w:r>
      <w:r>
        <w:t xml:space="preserve"> </w:t>
      </w:r>
      <w:r>
        <w:t xml:space="preserve">effectiveness, it supports Saint Petersburg’s goal to reduce the primary education gap between urban and peripheral districts by 20% (2025 Strategic Plan). For Russia nationally, this model demonstrates how federal initiatives can be localized without losing coherence—offering a blueprint for other regions with distinct cultural identities.</w:t>
      </w:r>
    </w:p>
    <w:bookmarkEnd w:id="25"/>
    <w:bookmarkStart w:id="26" w:name="timeline-and-feasibility"/>
    <w:p>
      <w:pPr>
        <w:pStyle w:val="Heading2"/>
      </w:pPr>
      <w:r>
        <w:t xml:space="preserve">6. Timeline and Feasibility</w:t>
      </w:r>
    </w:p>
    <w:p>
      <w:pPr>
        <w:pStyle w:val="FirstParagraph"/>
      </w:pPr>
      <w:r>
        <w:t xml:space="preserve">The 14-month project is feasible through existing partnerships: the Saint Petersburg Department of Education has committed to school access, and the city’s network of pedagogical universities (e.g., Herzen University) will host workshops. Key milestones include finalizing the competency framework by Month 7 and publishing pilot results in Saint Petersburg’s Journal of Educational Innovation by Month 13.</w:t>
      </w:r>
    </w:p>
    <w:bookmarkEnd w:id="26"/>
    <w:bookmarkStart w:id="27" w:name="conclusion"/>
    <w:p>
      <w:pPr>
        <w:pStyle w:val="Heading2"/>
      </w:pPr>
      <w:r>
        <w:t xml:space="preserve">Conclusion</w:t>
      </w:r>
    </w:p>
    <w:p>
      <w:pPr>
        <w:pStyle w:val="FirstParagraph"/>
      </w:pPr>
      <w:r>
        <w:t xml:space="preserve">This thesis responds to an urgent, under-addressed need: equipping</w:t>
      </w:r>
      <w:r>
        <w:t xml:space="preserve"> </w:t>
      </w:r>
      <w:r>
        <w:rPr>
          <w:iCs/>
          <w:i/>
        </w:rPr>
        <w:t xml:space="preserve">Teacher Primary</w:t>
      </w:r>
      <w:r>
        <w:t xml:space="preserve"> </w:t>
      </w:r>
      <w:r>
        <w:t xml:space="preserve">in Russia’s Saint Petersburg with the competencies required for 21st-century education. By grounding research in the city’s specific challenges—its cultural richness, infrastructure realities, and demographic diversity—the project ensures its solutions are not just academic but actionable. In a city where education shapes generations of artists, scientists, and leaders, investing in</w:t>
      </w:r>
      <w:r>
        <w:t xml:space="preserve"> </w:t>
      </w:r>
      <w:r>
        <w:rPr>
          <w:iCs/>
          <w:i/>
        </w:rPr>
        <w:t xml:space="preserve">Teacher Primary</w:t>
      </w:r>
      <w:r>
        <w:t xml:space="preserve"> </w:t>
      </w:r>
      <w:r>
        <w:t xml:space="preserve">is an investment in Saint Petersburg’s future. This proposal thus aligns with Russia’s national educational vision while centering the lived experience of teachers and students in one of its most iconic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Competencies in Saint Petersburg's Educational Landscape</dc:title>
  <dc:creator/>
  <dc:language>en</dc:language>
  <cp:keywords/>
  <dcterms:created xsi:type="dcterms:W3CDTF">2026-07-23T22:52:20Z</dcterms:created>
  <dcterms:modified xsi:type="dcterms:W3CDTF">2026-07-23T22:52:20Z</dcterms:modified>
</cp:coreProperties>
</file>

<file path=docProps/custom.xml><?xml version="1.0" encoding="utf-8"?>
<Properties xmlns="http://schemas.openxmlformats.org/officeDocument/2006/custom-properties" xmlns:vt="http://schemas.openxmlformats.org/officeDocument/2006/docPropsVTypes"/>
</file>