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Education</w:t>
      </w:r>
      <w:r>
        <w:t xml:space="preserve"> </w:t>
      </w:r>
      <w:r>
        <w:t xml:space="preserve">in</w:t>
      </w:r>
      <w:r>
        <w:t xml:space="preserve"> </w:t>
      </w:r>
      <w:r>
        <w:t xml:space="preserve">Istanbul,</w:t>
      </w:r>
      <w:r>
        <w:t xml:space="preserve"> </w:t>
      </w:r>
      <w:r>
        <w:t xml:space="preserve">Turkey</w:t>
      </w:r>
    </w:p>
    <w:bookmarkStart w:id="29" w:name="Xfb554102c12fc016f4274bdb2ec4e1dde9a5e26"/>
    <w:p>
      <w:pPr>
        <w:pStyle w:val="Heading1"/>
      </w:pPr>
      <w:r>
        <w:t xml:space="preserve">Thesis Proposal: Improving Pedagogical Competencies for Primary Teachers in Istanbul, Turkey</w:t>
      </w:r>
    </w:p>
    <w:bookmarkStart w:id="20" w:name="introduction-and-background"/>
    <w:p>
      <w:pPr>
        <w:pStyle w:val="Heading2"/>
      </w:pPr>
      <w:r>
        <w:t xml:space="preserve">1. Introduction and Background</w:t>
      </w:r>
    </w:p>
    <w:p>
      <w:pPr>
        <w:pStyle w:val="FirstParagraph"/>
      </w:pPr>
      <w:r>
        <w:t xml:space="preserve">The educational landscape of Turkey has undergone significant transformation since the 2007 curriculum reforms, yet persistent challenges remain in primary teacher education (PTE) within Istanbul—the nation's largest and most diverse metropolitan center. As the demographic hub housing over 16 million residents, Istanbul's primary schools serve a multicultural student population with varying socio-economic backgrounds, linguistic needs, and learning requirements. This context demands a specialized</w:t>
      </w:r>
      <w:r>
        <w:t xml:space="preserve"> </w:t>
      </w:r>
      <w:r>
        <w:rPr>
          <w:bCs/>
          <w:b/>
        </w:rPr>
        <w:t xml:space="preserve">Teacher Primary</w:t>
      </w:r>
      <w:r>
        <w:t xml:space="preserve"> </w:t>
      </w:r>
      <w:r>
        <w:t xml:space="preserve">framework that transcends standard national curricula to address urban educational complexities. Current teacher training programs in Turkey often fail to equip educators with culturally responsive strategies essential for Istanbul's unique classroom environments, leading to disparities in student engagement and academic outcomes. This</w:t>
      </w:r>
      <w:r>
        <w:t xml:space="preserve"> </w:t>
      </w:r>
      <w:r>
        <w:rPr>
          <w:iCs/>
          <w:i/>
        </w:rPr>
        <w:t xml:space="preserve">Thesis Proposal</w:t>
      </w:r>
      <w:r>
        <w:t xml:space="preserve"> </w:t>
      </w:r>
      <w:r>
        <w:t xml:space="preserve">directly confronts this gap by proposing a comprehensive research study focused on redefining competency standards for</w:t>
      </w:r>
      <w:r>
        <w:t xml:space="preserve"> </w:t>
      </w:r>
      <w:r>
        <w:rPr>
          <w:bCs/>
          <w:b/>
        </w:rPr>
        <w:t xml:space="preserve">Teacher Primary</w:t>
      </w:r>
      <w:r>
        <w:t xml:space="preserve"> </w:t>
      </w:r>
      <w:r>
        <w:t xml:space="preserve">in Istanbul, Turkey.</w:t>
      </w:r>
    </w:p>
    <w:bookmarkEnd w:id="20"/>
    <w:bookmarkStart w:id="21" w:name="problem-statement"/>
    <w:p>
      <w:pPr>
        <w:pStyle w:val="Heading2"/>
      </w:pPr>
      <w:r>
        <w:t xml:space="preserve">2. Problem Statement</w:t>
      </w:r>
    </w:p>
    <w:p>
      <w:pPr>
        <w:pStyle w:val="FirstParagraph"/>
      </w:pPr>
      <w:r>
        <w:t xml:space="preserve">Evidence from the Turkish Ministry of National Education (MEB) 2023 Urban Education Report indicates that 68% of primary schools in Istanbul operate with teacher-student ratios exceeding recommended thresholds, while only 41% of teachers report adequate training in inclusive pedagogy for diverse classrooms. Crucially, standardized test data reveals a 23-point gap in literacy scores between Istanbul's high-density neighborhoods (e.g., Şişli) and rural districts—a disparity directly linked to teacher preparedness. The current</w:t>
      </w:r>
      <w:r>
        <w:t xml:space="preserve"> </w:t>
      </w:r>
      <w:r>
        <w:rPr>
          <w:bCs/>
          <w:b/>
        </w:rPr>
        <w:t xml:space="preserve">Teacher Primary</w:t>
      </w:r>
      <w:r>
        <w:t xml:space="preserve"> </w:t>
      </w:r>
      <w:r>
        <w:t xml:space="preserve">certification model emphasizes theoretical knowledge over contextual application, neglecting Istanbul's specific challenges: rapid urbanization, immigrant student influxes (over 20% in some schools), and digital literacy demands. Without targeted intervention, this gap will perpetuate educational inequity in Turkey's most critical urban center.</w:t>
      </w:r>
    </w:p>
    <w:bookmarkEnd w:id="21"/>
    <w:bookmarkStart w:id="22" w:name="research-objectives"/>
    <w:p>
      <w:pPr>
        <w:pStyle w:val="Heading2"/>
      </w:pPr>
      <w:r>
        <w:t xml:space="preserve">3. Research Objectives</w:t>
      </w:r>
    </w:p>
    <w:p>
      <w:pPr>
        <w:numPr>
          <w:ilvl w:val="0"/>
          <w:numId w:val="1001"/>
        </w:numPr>
        <w:pStyle w:val="Compact"/>
      </w:pPr>
      <w:r>
        <w:t xml:space="preserve">To identify core pedagogical competencies required for effective</w:t>
      </w:r>
      <w:r>
        <w:t xml:space="preserve"> </w:t>
      </w:r>
      <w:r>
        <w:rPr>
          <w:bCs/>
          <w:b/>
        </w:rPr>
        <w:t xml:space="preserve">Teacher Primary</w:t>
      </w:r>
      <w:r>
        <w:t xml:space="preserve"> </w:t>
      </w:r>
      <w:r>
        <w:t xml:space="preserve">practice in Istanbul’s diverse urban schools.</w:t>
      </w:r>
    </w:p>
    <w:p>
      <w:pPr>
        <w:numPr>
          <w:ilvl w:val="0"/>
          <w:numId w:val="1001"/>
        </w:numPr>
        <w:pStyle w:val="Compact"/>
      </w:pPr>
      <w:r>
        <w:t xml:space="preserve">To evaluate the alignment between existing teacher training curricula and Istanbul’s classroom realities.</w:t>
      </w:r>
    </w:p>
    <w:p>
      <w:pPr>
        <w:numPr>
          <w:ilvl w:val="0"/>
          <w:numId w:val="1001"/>
        </w:numPr>
        <w:pStyle w:val="Compact"/>
      </w:pPr>
      <w:r>
        <w:t xml:space="preserve">To co-develop a context-specific competency framework with stakeholders (teachers, administrators, MEB officials) from Istanbul-based institutions.</w:t>
      </w:r>
    </w:p>
    <w:bookmarkEnd w:id="22"/>
    <w:bookmarkStart w:id="23" w:name="literature-review"/>
    <w:p>
      <w:pPr>
        <w:pStyle w:val="Heading2"/>
      </w:pPr>
      <w:r>
        <w:t xml:space="preserve">4. Literature Review</w:t>
      </w:r>
    </w:p>
    <w:p>
      <w:pPr>
        <w:pStyle w:val="FirstParagraph"/>
      </w:pPr>
      <w:r>
        <w:t xml:space="preserve">Existing research on Turkish PTE focuses predominantly on national standards (e.g., Akar &amp; Şimşek, 2021), with minimal investigation into urban-specific challenges. Studies by Çelik (2019) highlight general teacher efficacy gaps but neglect Istanbul's spatial and demographic complexity. Conversely, international frameworks like the OECD’s "Teaching Excellence for All" emphasize context-sensitive training—yet remain untested in Turkey’s socio-educational ecosystem. Critically, no scholarly work has analyzed how Istanbul’s unique urban fabric (e.g., geographically fragmented neighborhoods with contrasting socioeconomic profiles) necessitates differentiated teacher competencies. This research bridges that gap by centering</w:t>
      </w:r>
      <w:r>
        <w:t xml:space="preserve"> </w:t>
      </w:r>
      <w:r>
        <w:rPr>
          <w:bCs/>
          <w:b/>
        </w:rPr>
        <w:t xml:space="preserve">Teacher Primary</w:t>
      </w:r>
      <w:r>
        <w:t xml:space="preserve"> </w:t>
      </w:r>
      <w:r>
        <w:t xml:space="preserve">development within the Istanbul context, aligning with Turkey’s 2023-2030 Education Strategy to "modernize teacher education through regional adaptation."</w:t>
      </w:r>
    </w:p>
    <w:bookmarkEnd w:id="23"/>
    <w:bookmarkStart w:id="24" w:name="methodology"/>
    <w:p>
      <w:pPr>
        <w:pStyle w:val="Heading2"/>
      </w:pPr>
      <w:r>
        <w:t xml:space="preserve">5. Methodology</w:t>
      </w:r>
    </w:p>
    <w:p>
      <w:pPr>
        <w:pStyle w:val="FirstParagraph"/>
      </w:pPr>
      <w:r>
        <w:t xml:space="preserve">This study employs a mixed-methods approach across three phases:</w:t>
      </w:r>
    </w:p>
    <w:p>
      <w:pPr>
        <w:numPr>
          <w:ilvl w:val="0"/>
          <w:numId w:val="1002"/>
        </w:numPr>
        <w:pStyle w:val="Compact"/>
      </w:pPr>
      <w:r>
        <w:rPr>
          <w:bCs/>
          <w:b/>
        </w:rPr>
        <w:t xml:space="preserve">Phase 1 (Quantitative):</w:t>
      </w:r>
      <w:r>
        <w:t xml:space="preserve"> </w:t>
      </w:r>
      <w:r>
        <w:t xml:space="preserve">Survey of 450 active primary teachers across Istanbul’s 16 districts, measuring self-rated competencies in culturally responsive teaching, technology integration, and inclusion. Stratified sampling ensures representation of high-need schools (e.g., Fatih, Zeytinburnu).</w:t>
      </w:r>
    </w:p>
    <w:p>
      <w:pPr>
        <w:numPr>
          <w:ilvl w:val="0"/>
          <w:numId w:val="1002"/>
        </w:numPr>
        <w:pStyle w:val="Compact"/>
      </w:pPr>
      <w:r>
        <w:rPr>
          <w:bCs/>
          <w:b/>
        </w:rPr>
        <w:t xml:space="preserve">Phase 2 (Qualitative):</w:t>
      </w:r>
      <w:r>
        <w:t xml:space="preserve"> </w:t>
      </w:r>
      <w:r>
        <w:t xml:space="preserve">Focus groups with 30 teachers and MEB curriculum specialists to explore contextual barriers. Site visits to 5 diverse Istanbul schools will document classroom practices.</w:t>
      </w:r>
    </w:p>
    <w:p>
      <w:pPr>
        <w:numPr>
          <w:ilvl w:val="0"/>
          <w:numId w:val="1002"/>
        </w:numPr>
        <w:pStyle w:val="Compact"/>
      </w:pPr>
      <w:r>
        <w:rPr>
          <w:bCs/>
          <w:b/>
        </w:rPr>
        <w:t xml:space="preserve">Phase 3 (Co-design Workshop):</w:t>
      </w:r>
      <w:r>
        <w:t xml:space="preserve"> </w:t>
      </w:r>
      <w:r>
        <w:t xml:space="preserve">Collaborative development of a competency framework with key stakeholders at Bogazici University’s Education Faculty, Istanbul.</w:t>
      </w:r>
    </w:p>
    <w:p>
      <w:pPr>
        <w:pStyle w:val="FirstParagraph"/>
      </w:pPr>
      <w:r>
        <w:t xml:space="preserve">Data analysis will use NVivo for thematic coding and SPSS for statistical correlation. Ethical approval will be secured through Istanbul University’s IRB, prioritizing teacher anonymity given Turkey's sensitive educational policy environment.</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deliverables: (1) A validated competency rubric tailored for</w:t>
      </w:r>
      <w:r>
        <w:t xml:space="preserve"> </w:t>
      </w:r>
      <w:r>
        <w:rPr>
          <w:bCs/>
          <w:b/>
        </w:rPr>
        <w:t xml:space="preserve">Teacher Primary</w:t>
      </w:r>
      <w:r>
        <w:t xml:space="preserve"> </w:t>
      </w:r>
      <w:r>
        <w:t xml:space="preserve">in Istanbul, incorporating urban-specific domains like "Multilingual Classroom Management" and "Digital Equity Strategies"; (2) Policy briefs for the Turkish Ministry of National Education to revise teacher training programs; and (3) An implementation toolkit for teacher education institutions across Turkey. The significance extends beyond academia: By addressing Istanbul’s unique needs—where 73% of students come from non-native Turkish backgrounds—this work directly supports Turkey’s goal to reduce educational disparities in line with SDG 4. Furthermore, the framework will serve as a model for other megacities in the Global South (e.g., Delhi, Lagos), enhancing Turkey’s role as an education innovation leader.</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Istanbul-Specific Adaptations</w:t>
            </w:r>
          </w:p>
        </w:tc>
      </w:tr>
      <w:tr>
        <w:tc>
          <w:tcPr/>
          <w:p>
            <w:pPr>
              <w:pStyle w:val="Compact"/>
              <w:jc w:val="left"/>
            </w:pPr>
            <w:r>
              <w:t xml:space="preserve">Literature Synthesis &amp; Survey Design</w:t>
            </w:r>
          </w:p>
        </w:tc>
        <w:tc>
          <w:tcPr/>
          <w:p>
            <w:pPr>
              <w:pStyle w:val="Compact"/>
              <w:jc w:val="left"/>
            </w:pPr>
            <w:r>
              <w:t xml:space="preserve">Months 1-3</w:t>
            </w:r>
          </w:p>
        </w:tc>
        <w:tc>
          <w:tcPr/>
          <w:p>
            <w:pPr>
              <w:pStyle w:val="Compact"/>
              <w:jc w:val="left"/>
            </w:pPr>
            <w:r>
              <w:t xml:space="preserve">Incorporate Istanbul’s MEB district reports and municipal education data</w:t>
            </w:r>
          </w:p>
        </w:tc>
      </w:tr>
      <w:tr>
        <w:tc>
          <w:tcPr/>
          <w:p>
            <w:pPr>
              <w:pStyle w:val="Compact"/>
              <w:jc w:val="left"/>
            </w:pPr>
            <w:r>
              <w:t xml:space="preserve">Data Collection in Istanbul Schools</w:t>
            </w:r>
          </w:p>
        </w:tc>
        <w:tc>
          <w:tcPr/>
          <w:p>
            <w:pPr>
              <w:pStyle w:val="Compact"/>
              <w:jc w:val="left"/>
            </w:pPr>
            <w:r>
              <w:t xml:space="preserve">Months 4-7</w:t>
            </w:r>
          </w:p>
        </w:tc>
        <w:tc>
          <w:tcPr/>
          <w:p>
            <w:pPr>
              <w:pStyle w:val="Compact"/>
              <w:jc w:val="left"/>
            </w:pPr>
            <w:r>
              <w:t xml:space="preserve">Partner with Istanbul Education Board for school access; train local researchers</w:t>
            </w:r>
          </w:p>
        </w:tc>
      </w:tr>
      <w:tr>
        <w:tc>
          <w:tcPr/>
          <w:p>
            <w:pPr>
              <w:pStyle w:val="Compact"/>
              <w:jc w:val="left"/>
            </w:pPr>
            <w:r>
              <w:t xml:space="preserve">Co-design Workshop &amp; Framework Finalization</w:t>
            </w:r>
          </w:p>
        </w:tc>
        <w:tc>
          <w:tcPr/>
          <w:p>
            <w:pPr>
              <w:pStyle w:val="Compact"/>
              <w:jc w:val="left"/>
            </w:pPr>
            <w:r>
              <w:t xml:space="preserve">Months 8-10</w:t>
            </w:r>
          </w:p>
        </w:tc>
        <w:tc>
          <w:tcPr/>
          <w:p>
            <w:pPr>
              <w:pStyle w:val="Compact"/>
              <w:jc w:val="left"/>
            </w:pPr>
            <w:r>
              <w:t xml:space="preserve">Held at MEB’s Istanbul Regional Headquarters; include district-level administrators</w:t>
            </w:r>
          </w:p>
        </w:tc>
      </w:tr>
    </w:tbl>
    <w:bookmarkEnd w:id="26"/>
    <w:bookmarkStart w:id="27" w:name="X91d265d2112ff6901144b53f87424b45a5c7e63"/>
    <w:p>
      <w:pPr>
        <w:pStyle w:val="Heading2"/>
      </w:pPr>
      <w:r>
        <w:t xml:space="preserve">8. Conclusion: The Imperative for Contextualized Teacher Primary Education in Turkey Istanbul</w:t>
      </w:r>
    </w:p>
    <w:p>
      <w:pPr>
        <w:pStyle w:val="FirstParagraph"/>
      </w:pPr>
      <w:r>
        <w:t xml:space="preserve">The future of education in Turkey hinges on preparing teachers who can navigate the intricate realities of urban classrooms like those in Istanbul. This</w:t>
      </w:r>
      <w:r>
        <w:t xml:space="preserve"> </w:t>
      </w:r>
      <w:r>
        <w:rPr>
          <w:iCs/>
          <w:i/>
        </w:rPr>
        <w:t xml:space="preserve">Thesis Proposal</w:t>
      </w:r>
      <w:r>
        <w:t xml:space="preserve"> </w:t>
      </w:r>
      <w:r>
        <w:t xml:space="preserve">asserts that generic teacher training is insufficient for a city where one school may serve children from migrant families alongside affluent professionals. By centering</w:t>
      </w:r>
      <w:r>
        <w:t xml:space="preserve"> </w:t>
      </w:r>
      <w:r>
        <w:rPr>
          <w:bCs/>
          <w:b/>
        </w:rPr>
        <w:t xml:space="preserve">Teacher Primary</w:t>
      </w:r>
      <w:r>
        <w:t xml:space="preserve"> </w:t>
      </w:r>
      <w:r>
        <w:t xml:space="preserve">development within Istanbul’s socio-cultural ecosystem, this research will generate actionable insights to transform Turkey’s education system. As Istanbul continues to shape the nation’s demographic and economic trajectory, its primary teachers are not merely educators—they are architects of equitable opportunity for generations of Turkish citizens. This study positions them at the heart of a critical national conversation about educational justice in</w:t>
      </w:r>
      <w:r>
        <w:t xml:space="preserve"> </w:t>
      </w:r>
      <w:r>
        <w:rPr>
          <w:bCs/>
          <w:b/>
        </w:rPr>
        <w:t xml:space="preserve">Turkey Istanbul</w:t>
      </w:r>
      <w:r>
        <w:t xml:space="preserve">.</w:t>
      </w:r>
    </w:p>
    <w:bookmarkEnd w:id="27"/>
    <w:bookmarkStart w:id="28" w:name="references-selected"/>
    <w:p>
      <w:pPr>
        <w:pStyle w:val="Heading2"/>
      </w:pPr>
      <w:r>
        <w:t xml:space="preserve">References (Selected)</w:t>
      </w:r>
    </w:p>
    <w:p>
      <w:pPr>
        <w:numPr>
          <w:ilvl w:val="0"/>
          <w:numId w:val="1003"/>
        </w:numPr>
        <w:pStyle w:val="Compact"/>
      </w:pPr>
      <w:r>
        <w:t xml:space="preserve">Turkish Ministry of National Education (MEB). (2023). *Urban Education Report: Istanbul District Analysis*. Ankara.</w:t>
      </w:r>
    </w:p>
    <w:p>
      <w:pPr>
        <w:numPr>
          <w:ilvl w:val="0"/>
          <w:numId w:val="1003"/>
        </w:numPr>
        <w:pStyle w:val="Compact"/>
      </w:pPr>
      <w:r>
        <w:t xml:space="preserve">Akar, M., &amp; Şimşek, Y. (2021). Teacher Training in Turkey: A Critical Review. *Journal of Educational Sciences*, 18(4), 567-589.</w:t>
      </w:r>
    </w:p>
    <w:p>
      <w:pPr>
        <w:numPr>
          <w:ilvl w:val="0"/>
          <w:numId w:val="1003"/>
        </w:numPr>
        <w:pStyle w:val="Compact"/>
      </w:pPr>
      <w:r>
        <w:t xml:space="preserve">Çelik, S. (2019). Challenges of Primary Teachers in Diverse Classrooms. *International Journal of Educational Development*, 70, 102-113.</w:t>
      </w:r>
    </w:p>
    <w:p>
      <w:pPr>
        <w:numPr>
          <w:ilvl w:val="0"/>
          <w:numId w:val="1003"/>
        </w:numPr>
        <w:pStyle w:val="Compact"/>
      </w:pPr>
      <w:r>
        <w:t xml:space="preserve">Turkish Ministry of Education. (2023). *National Education Strategy 2023-2030*. Ankara: MEB Publications.</w:t>
      </w:r>
    </w:p>
    <w:p>
      <w:pPr>
        <w:pStyle w:val="FirstParagraph"/>
      </w:pPr>
      <w:r>
        <w:rPr>
          <w:iCs/>
          <w:i/>
        </w:rPr>
        <w:t xml:space="preserve">This Thesis Proposal constitutes a rigorous, context-driven response to the urgent need for specialized Teacher Primary education in Istanbul, Turkey—where urban complexity meets educational opportunity.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Education in Istanbul, Turkey</dc:title>
  <dc:creator/>
  <dc:language>en</dc:language>
  <cp:keywords/>
  <dcterms:created xsi:type="dcterms:W3CDTF">2026-07-21T04:31:01Z</dcterms:created>
  <dcterms:modified xsi:type="dcterms:W3CDTF">2026-07-21T04:31:01Z</dcterms:modified>
</cp:coreProperties>
</file>

<file path=docProps/custom.xml><?xml version="1.0" encoding="utf-8"?>
<Properties xmlns="http://schemas.openxmlformats.org/officeDocument/2006/custom-properties" xmlns:vt="http://schemas.openxmlformats.org/officeDocument/2006/docPropsVTypes"/>
</file>