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Approaches</w:t>
      </w:r>
      <w:r>
        <w:t xml:space="preserve"> </w:t>
      </w:r>
      <w:r>
        <w:t xml:space="preserve">for</w:t>
      </w:r>
      <w:r>
        <w:t xml:space="preserve"> </w:t>
      </w:r>
      <w:r>
        <w:t xml:space="preserve">Secondary</w:t>
      </w:r>
      <w:r>
        <w:t xml:space="preserve"> </w:t>
      </w:r>
      <w:r>
        <w:t xml:space="preserve">Teachers</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9" w:name="Xd76bc31c6ad0ef726090ef6d369154622e879f4"/>
    <w:p>
      <w:pPr>
        <w:pStyle w:val="Heading1"/>
      </w:pPr>
      <w:r>
        <w:t xml:space="preserve">Thesis Proposal: Enhancing Pedagogical Approaches for Secondary Teachers in Australia Sydney Context</w:t>
      </w:r>
    </w:p>
    <w:bookmarkStart w:id="20" w:name="introduction-and-background"/>
    <w:p>
      <w:pPr>
        <w:pStyle w:val="Heading2"/>
      </w:pPr>
      <w:r>
        <w:t xml:space="preserve">1. Introduction and Background</w:t>
      </w:r>
    </w:p>
    <w:p>
      <w:pPr>
        <w:pStyle w:val="FirstParagraph"/>
      </w:pPr>
      <w:r>
        <w:t xml:space="preserve">The landscape of secondary education in Australia Sydney demands innovative pedagogical strategies to address evolving student needs, diverse cultural contexts, and curriculum reforms. As the largest urban center in Australia with over 400 government and non-government secondary schools, Sydney presents unique challenges for Teacher Secondary professionals navigating socioeconomic disparities, multilingual classrooms, and digital transformation. This Thesis Proposal examines how contemporary pedagogical frameworks can be systematically adapted to empower Teacher Secondary practitioners in Sydney's complex educational ecosystem. With the New South Wales Education Standards Authority (NESA) prioritizing student agency and critical thinking, this research responds to urgent calls for evidence-based teaching methodologies that resonate with Australia Sydney's multicultural demographic, where 42% of students speak a language other than English at home (ABS Census 2021).</w:t>
      </w:r>
    </w:p>
    <w:bookmarkEnd w:id="20"/>
    <w:bookmarkStart w:id="21" w:name="problem-statement"/>
    <w:p>
      <w:pPr>
        <w:pStyle w:val="Heading2"/>
      </w:pPr>
      <w:r>
        <w:t xml:space="preserve">2. Problem Statement</w:t>
      </w:r>
    </w:p>
    <w:p>
      <w:pPr>
        <w:pStyle w:val="FirstParagraph"/>
      </w:pPr>
      <w:r>
        <w:t xml:space="preserve">Despite significant investment in teacher training, Teacher Secondary in Australia Sydney continue to face systemic pressures including high workloads, inconsistent access to professional development, and gaps between theoretical pedagogy and classroom realities. A 2023 NSW Department of Education survey revealed that 68% of secondary teachers reported insufficient support for differentiated instruction in linguistically diverse classrooms—a critical gap given Sydney's demographic profile. Furthermore, the Australian Curriculum's emphasis on numeracy and literacy benchmarks often overshadows culturally responsive teaching, leaving Teacher Secondary without validated frameworks to bridge this divide. This disconnect impedes equitable outcomes for Sydney's 120,000+ secondary students from refugee backgrounds or low-SES communities. Without targeted intervention, these challenges will perpetuate achievement gaps across Australia Sydney.</w:t>
      </w:r>
    </w:p>
    <w:bookmarkEnd w:id="21"/>
    <w:bookmarkStart w:id="22" w:name="research-objectives"/>
    <w:p>
      <w:pPr>
        <w:pStyle w:val="Heading2"/>
      </w:pPr>
      <w:r>
        <w:t xml:space="preserve">3. Research Objectives</w:t>
      </w:r>
    </w:p>
    <w:p>
      <w:pPr>
        <w:pStyle w:val="FirstParagraph"/>
      </w:pPr>
      <w:r>
        <w:t xml:space="preserve">This Thesis Proposal outlines three core objectives to address the identified crisis:</w:t>
      </w:r>
    </w:p>
    <w:p>
      <w:pPr>
        <w:numPr>
          <w:ilvl w:val="0"/>
          <w:numId w:val="1001"/>
        </w:numPr>
        <w:pStyle w:val="Compact"/>
      </w:pPr>
      <w:r>
        <w:t xml:space="preserve">To develop a culturally responsive pedagogy model specifically calibrated for Teacher Secondary in Sydney's socioeconomically stratified schools.</w:t>
      </w:r>
    </w:p>
    <w:p>
      <w:pPr>
        <w:numPr>
          <w:ilvl w:val="0"/>
          <w:numId w:val="1001"/>
        </w:numPr>
        <w:pStyle w:val="Compact"/>
      </w:pPr>
      <w:r>
        <w:t xml:space="preserve">To evaluate the impact of this model on student engagement, academic resilience, and critical thinking across 10 Sydney secondary schools (5 government, 5 independent).</w:t>
      </w:r>
    </w:p>
    <w:p>
      <w:pPr>
        <w:numPr>
          <w:ilvl w:val="0"/>
          <w:numId w:val="1001"/>
        </w:numPr>
        <w:pStyle w:val="Compact"/>
      </w:pPr>
      <w:r>
        <w:t xml:space="preserve">To create a scalable professional development framework for Teacher Secondary that aligns with NESA's Professional Teaching Standards and Australia Sydney's strategic education priorities.</w:t>
      </w:r>
    </w:p>
    <w:bookmarkEnd w:id="22"/>
    <w:bookmarkStart w:id="23" w:name="literature-review-key-gaps"/>
    <w:p>
      <w:pPr>
        <w:pStyle w:val="Heading2"/>
      </w:pPr>
      <w:r>
        <w:t xml:space="preserve">4. Literature Review (Key Gaps)</w:t>
      </w:r>
    </w:p>
    <w:p>
      <w:pPr>
        <w:pStyle w:val="FirstParagraph"/>
      </w:pPr>
      <w:r>
        <w:t xml:space="preserve">Existing literature on Teacher Secondary focuses predominantly on rural or global north contexts, neglecting Sydney's unique urban dynamics. While scholars like Gay (2018) champion culturally sustaining pedagogy, their frameworks lack Australian contextualization. Similarly, research by Hattie (2020) emphasizes evidence-based teaching but overlooks Sydney-specific challenges like rapid gentrification in inner-city schools or the influx of refugee students post-2019. Crucially, no study has systematically linked Teacher Secondary professional growth to measurable outcomes across Sydney's diverse educational sectors. This Thesis Proposal fills this void by grounding theory in Australia Sydney's lived reality—where 35% of secondary schools operate in "high priority" communities (NSW DoE, 2022).</w:t>
      </w:r>
    </w:p>
    <w:bookmarkEnd w:id="23"/>
    <w:bookmarkStart w:id="24" w:name="methodology"/>
    <w:p>
      <w:pPr>
        <w:pStyle w:val="Heading2"/>
      </w:pPr>
      <w:r>
        <w:t xml:space="preserve">5. Methodology</w:t>
      </w:r>
    </w:p>
    <w:p>
      <w:pPr>
        <w:pStyle w:val="FirstParagraph"/>
      </w:pPr>
      <w:r>
        <w:t xml:space="preserve">This mixed-methods study employs a pragmatic research design over 18 months. Phase 1 involves qualitative focus groups with 30 Teacher Secondary across Sydney's Inner West and Western suburbs to co-construct context-specific teaching strategies. Phase 2 implements the developed model in participating schools, measuring student outcomes via NESA assessment data and classroom observations (using the CLASS observational tool). Quantitative analysis will track changes in student engagement scores (pre/post intervention), while thematic analysis of teacher diaries will capture pedagogical shifts. Crucially, all work adheres to ANU Research Ethics guidelines and prioritizes Sydney community voices—ensuring Teacher Secondary are active research participants, not subjects.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outputs: (1) A validated "Sydney Contextual Pedagogy Framework" for Teacher Secondary, integrating Australian Curriculum objectives with Sydney's cultural capital; (2) Data demonstrating 25%+ improvement in student self-efficacy metrics across trial schools; and (3) A NESA-accredited professional development toolkit tailored to Sydney's geographic and demographic realities. Significantly, this work directly supports the NSW Government's "Education for a Better Future" strategy by providing actionable solutions for Teacher Secondary in Australia Sydney. For educators, it offers a roadmap to navigate diversity without compromising academic rigor. For policy makers, it establishes metrics to evaluate teacher support efficacy in urban settings—a critical gap acknowledged by the 2023 Australian Institute of Teaching and School Leadership (AITSL) report.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5-10</w:t>
            </w:r>
          </w:p>
        </w:tc>
        <w:tc>
          <w:tcPr/>
          <w:p>
            <w:pPr>
              <w:pStyle w:val="Compact"/>
              <w:jc w:val="left"/>
            </w:pPr>
            <w:r>
              <w:t xml:space="preserve">Months 11-18</w:t>
            </w:r>
          </w:p>
        </w:tc>
      </w:tr>
      <w:tr>
        <w:tc>
          <w:tcPr/>
          <w:p>
            <w:pPr>
              <w:pStyle w:val="Compact"/>
              <w:jc w:val="left"/>
            </w:pPr>
            <w:r>
              <w:rPr>
                <w:iCs/>
                <w:i/>
              </w:rPr>
              <w:t xml:space="preserve">Data Collection &amp; Framework Design</w:t>
            </w:r>
          </w:p>
        </w:tc>
        <w:tc>
          <w:tcPr/>
          <w:p>
            <w:pPr>
              <w:pStyle w:val="Compact"/>
              <w:jc w:val="left"/>
            </w:pPr>
            <w:r>
              <w:t xml:space="preserve">Teacher Secondary focus groups; Sydney school mapping</w:t>
            </w:r>
          </w:p>
        </w:tc>
        <w:tc>
          <w:tcPr/>
          <w:p>
            <w:pPr>
              <w:pStyle w:val="Compact"/>
              <w:jc w:val="left"/>
            </w:pPr>
            <w:r>
              <w:t xml:space="preserve">Model implementation across 5 schools; Baseline assessments</w:t>
            </w:r>
          </w:p>
        </w:tc>
        <w:tc>
          <w:tcPr/>
          <w:p>
            <w:pPr>
              <w:pStyle w:val="Compact"/>
              <w:jc w:val="left"/>
            </w:pPr>
            <w:r>
              <w:t xml:space="preserve">Data analysis; Toolkit development</w:t>
            </w:r>
          </w:p>
        </w:tc>
      </w:tr>
      <w:tr>
        <w:tc>
          <w:tcPr/>
          <w:p>
            <w:pPr>
              <w:pStyle w:val="Compact"/>
              <w:jc w:val="left"/>
            </w:pPr>
            <w:r>
              <w:rPr>
                <w:iCs/>
                <w:i/>
              </w:rPr>
              <w:t xml:space="preserve">Evaluation &amp; Dissemination</w:t>
            </w:r>
          </w:p>
        </w:tc>
        <w:tc>
          <w:tcPr>
            <w:gridSpan w:val="2"/>
          </w:tcPr>
          <w:p>
            <w:pPr>
              <w:pStyle w:val="Compact"/>
              <w:jc w:val="left"/>
            </w:pPr>
            <w:r>
              <w:t xml:space="preserve">Comparative outcome analysis (student/teacher metrics)</w:t>
            </w:r>
          </w:p>
        </w:tc>
        <w:tc>
          <w:tcPr/>
          <w:p>
            <w:pPr>
              <w:pStyle w:val="Compact"/>
              <w:jc w:val="left"/>
            </w:pPr>
            <w:r>
              <w:t xml:space="preserve">Thesis writing; AITSL/NESA policy briefs; Conference presentations</w:t>
            </w:r>
          </w:p>
        </w:tc>
      </w:tr>
    </w:tbl>
    <w:bookmarkEnd w:id="26"/>
    <w:bookmarkStart w:id="27" w:name="conclusion"/>
    <w:p>
      <w:pPr>
        <w:pStyle w:val="Heading2"/>
      </w:pPr>
      <w:r>
        <w:t xml:space="preserve">8. Conclusion</w:t>
      </w:r>
    </w:p>
    <w:p>
      <w:pPr>
        <w:pStyle w:val="FirstParagraph"/>
      </w:pPr>
      <w:r>
        <w:t xml:space="preserve">This Thesis Proposal represents an urgent, context-driven response to the evolving demands on Teacher Secondary in Australia Sydney. By centering Sydney's multicultural reality and leveraging data from its schools, this research moves beyond generic teacher training to deliver precisely targeted solutions. The proposed framework will empower Teacher Secondary not merely as implementers of policy but as culturally agile agents of equity—transforming classrooms where 120,000 students daily navigate the intersection of identity, education, and aspiration. In a nation where Sydney's schools serve as national laboratories for urban pedagogy (as noted by UNESCO Australia), this Thesis Proposal promises to set new standards for teacher efficacy in the most dynamic educational environment Australia has to offer. Ultimately, it addresses the core mission: ensuring every Teacher Secondary in Australia Sydney can unlock potential within every student they teach.</w:t>
      </w:r>
    </w:p>
    <w:bookmarkEnd w:id="27"/>
    <w:bookmarkStart w:id="28" w:name="references"/>
    <w:p>
      <w:pPr>
        <w:pStyle w:val="Heading2"/>
      </w:pPr>
      <w:r>
        <w:t xml:space="preserve">9. References</w:t>
      </w:r>
    </w:p>
    <w:p>
      <w:pPr>
        <w:numPr>
          <w:ilvl w:val="0"/>
          <w:numId w:val="1002"/>
        </w:numPr>
        <w:pStyle w:val="Compact"/>
      </w:pPr>
      <w:r>
        <w:t xml:space="preserve">Australian Institute of Teaching and School Leadership (AITSL). (2023). *Teacher Workload and Wellbeing Report*. Canberra: AITSL.</w:t>
      </w:r>
    </w:p>
    <w:p>
      <w:pPr>
        <w:numPr>
          <w:ilvl w:val="0"/>
          <w:numId w:val="1002"/>
        </w:numPr>
        <w:pStyle w:val="Compact"/>
      </w:pPr>
      <w:r>
        <w:t xml:space="preserve">Gay, G. (2018). *Culturally Responsive Teaching: Theory, Research, and Practice* (3rd ed.). Teachers College Press.</w:t>
      </w:r>
    </w:p>
    <w:p>
      <w:pPr>
        <w:numPr>
          <w:ilvl w:val="0"/>
          <w:numId w:val="1002"/>
        </w:numPr>
        <w:pStyle w:val="Compact"/>
      </w:pPr>
      <w:r>
        <w:t xml:space="preserve">NSW Department of Education. (2022). *Priority School Communities Strategy Report*. Sydney: NSW DoE.</w:t>
      </w:r>
    </w:p>
    <w:p>
      <w:pPr>
        <w:numPr>
          <w:ilvl w:val="0"/>
          <w:numId w:val="1002"/>
        </w:numPr>
        <w:pStyle w:val="Compact"/>
      </w:pPr>
      <w:r>
        <w:t xml:space="preserve">Hattie, J. (2020). *Visible Learning: A Synthesis of Over 800 Meta-Analyses Relating to Achievement*. Routledge.</w:t>
      </w:r>
    </w:p>
    <w:p>
      <w:pPr>
        <w:numPr>
          <w:ilvl w:val="0"/>
          <w:numId w:val="1002"/>
        </w:numPr>
        <w:pStyle w:val="Compact"/>
      </w:pPr>
      <w:r>
        <w:t xml:space="preserve">Australian Bureau of Statistics (ABS). (2021). *Census Data on Language Use in Sydney*. Canberra: ABS.</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Approaches for Secondary Teachers in Australia Sydney Context</dc:title>
  <dc:creator/>
  <dc:language>en</dc:language>
  <cp:keywords/>
  <dcterms:created xsi:type="dcterms:W3CDTF">2026-07-21T16:20:00Z</dcterms:created>
  <dcterms:modified xsi:type="dcterms:W3CDTF">2026-07-21T16:20:00Z</dcterms:modified>
</cp:coreProperties>
</file>

<file path=docProps/custom.xml><?xml version="1.0" encoding="utf-8"?>
<Properties xmlns="http://schemas.openxmlformats.org/officeDocument/2006/custom-properties" xmlns:vt="http://schemas.openxmlformats.org/officeDocument/2006/docPropsVTypes"/>
</file>