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Secondary</w:t>
      </w:r>
      <w:r>
        <w:t xml:space="preserve"> </w:t>
      </w:r>
      <w:r>
        <w:t xml:space="preserve">Teacher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9" w:name="X90a771ba026615b4bb8ed80c02ef8cca90748e6"/>
    <w:p>
      <w:pPr>
        <w:pStyle w:val="Heading1"/>
      </w:pPr>
      <w:r>
        <w:t xml:space="preserve">Thesis Proposal: Improving Pedagogical Competencies of Secondary Teachers in Kazakhstan Almaty through Contextualized Professional Development</w:t>
      </w:r>
    </w:p>
    <w:bookmarkStart w:id="20" w:name="introduction-and-background"/>
    <w:p>
      <w:pPr>
        <w:pStyle w:val="Heading2"/>
      </w:pPr>
      <w:r>
        <w:t xml:space="preserve">1. Introduction and Background</w:t>
      </w:r>
    </w:p>
    <w:p>
      <w:pPr>
        <w:pStyle w:val="FirstParagraph"/>
      </w:pPr>
      <w:r>
        <w:t xml:space="preserve">The educational landscape in Kazakhstan has undergone significant transformation since independence, with a strong emphasis on modernizing secondary education to align with global standards. As the economic and cultural hub of Kazakhstan, Almaty represents a microcosm of national educational challenges and opportunities. The</w:t>
      </w:r>
      <w:r>
        <w:t xml:space="preserve"> </w:t>
      </w:r>
      <w:r>
        <w:rPr>
          <w:iCs/>
          <w:i/>
        </w:rPr>
        <w:t xml:space="preserve">Teacher Secondary</w:t>
      </w:r>
      <w:r>
        <w:t xml:space="preserve"> </w:t>
      </w:r>
      <w:r>
        <w:t xml:space="preserve">system in Almaty faces unique pressures including rapid urbanization, diverse student demographics, and the integration of digital tools into traditional pedagogy. Despite government initiatives like "Education 2030," persistent gaps remain in teacher preparedness to address 21st-century learning needs. This Thesis Proposal addresses a critical void: the lack of context-specific professional development frameworks tailored for</w:t>
      </w:r>
      <w:r>
        <w:t xml:space="preserve"> </w:t>
      </w:r>
      <w:r>
        <w:rPr>
          <w:iCs/>
          <w:i/>
        </w:rPr>
        <w:t xml:space="preserve">Teacher Secondary</w:t>
      </w:r>
      <w:r>
        <w:t xml:space="preserve"> </w:t>
      </w:r>
      <w:r>
        <w:t xml:space="preserve">in urban Kazakhstani settings, particularly within Almaty's dynamic educational environment.</w:t>
      </w:r>
    </w:p>
    <w:bookmarkEnd w:id="20"/>
    <w:bookmarkStart w:id="21" w:name="problem-statement"/>
    <w:p>
      <w:pPr>
        <w:pStyle w:val="Heading2"/>
      </w:pPr>
      <w:r>
        <w:t xml:space="preserve">2. Problem Statement</w:t>
      </w:r>
    </w:p>
    <w:p>
      <w:pPr>
        <w:pStyle w:val="FirstParagraph"/>
      </w:pPr>
      <w:r>
        <w:t xml:space="preserve">Current teacher training programs in Kazakhstan often adopt a one-size-fits-all approach, failing to account for Almaty's socio-cultural nuances. Data from the Ministry of Education (2023) reveals that 68% of secondary teachers in Almaty report insufficient preparation for inclusive classrooms, with migrant students comprising 35% of urban school populations. Furthermore, only 41% feel equipped to integrate digital pedagogy effectively—despite Kazakhstan's national push for "Smart Schools." This disconnect between standardized training and local realities compromises educational quality. The</w:t>
      </w:r>
      <w:r>
        <w:t xml:space="preserve"> </w:t>
      </w:r>
      <w:r>
        <w:rPr>
          <w:iCs/>
          <w:i/>
        </w:rPr>
        <w:t xml:space="preserve">Thesis Proposal</w:t>
      </w:r>
      <w:r>
        <w:t xml:space="preserve"> </w:t>
      </w:r>
      <w:r>
        <w:t xml:space="preserve">identifies this as a systemic issue requiring urgent intervention, directly impacting learning outcomes for 400,000+ secondary students in Almaty alone.</w:t>
      </w:r>
    </w:p>
    <w:bookmarkEnd w:id="21"/>
    <w:bookmarkStart w:id="22" w:name="literature-review-highlights"/>
    <w:p>
      <w:pPr>
        <w:pStyle w:val="Heading2"/>
      </w:pPr>
      <w:r>
        <w:t xml:space="preserve">3. Literature Review Highlights</w:t>
      </w:r>
    </w:p>
    <w:p>
      <w:pPr>
        <w:pStyle w:val="FirstParagraph"/>
      </w:pPr>
      <w:r>
        <w:t xml:space="preserve">Global research underscores that effective teacher development must be locally anchored (Darling-Hammond, 2017). However, studies focusing on Central Asia remain scarce. A 2021 UNESCO report noted Kazakhstan's "teacher training deficit" but offered no Almaty-specific solutions. Conversely, successful models like Singapore’s context-based coaching show a 30% improvement in student engagement (OECD, 2022). Within Kazakhstan, recent studies by Kozhagulova (2023) highlight that Almaty teachers prioritize culturally responsive teaching but lack institutional support. This Thesis Proposal bridges these gaps by proposing an Almaty-centered framework integrating Kazakh cultural values with modern pedagogical strategies—directly addressing the unmet needs of</w:t>
      </w:r>
      <w:r>
        <w:t xml:space="preserve"> </w:t>
      </w:r>
      <w:r>
        <w:rPr>
          <w:iCs/>
          <w:i/>
        </w:rPr>
        <w:t xml:space="preserve">Teacher Secondary</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design and validate a contextualized professional development model for secondary teachers in Almaty. Primary objectives include:</w:t>
      </w:r>
    </w:p>
    <w:p>
      <w:pPr>
        <w:numPr>
          <w:ilvl w:val="0"/>
          <w:numId w:val="1001"/>
        </w:numPr>
        <w:pStyle w:val="Compact"/>
      </w:pPr>
      <w:r>
        <w:t xml:space="preserve">Mapping current challenges faced by Almaty’s secondary teachers through mixed-methods analysis</w:t>
      </w:r>
    </w:p>
    <w:p>
      <w:pPr>
        <w:numPr>
          <w:ilvl w:val="0"/>
          <w:numId w:val="1001"/>
        </w:numPr>
        <w:pStyle w:val="Compact"/>
      </w:pPr>
      <w:r>
        <w:t xml:space="preserve">Developing a culturally responsive teacher training curriculum aligned with Kazakhstan’s National Educational Standards</w:t>
      </w:r>
    </w:p>
    <w:p>
      <w:pPr>
        <w:numPr>
          <w:ilvl w:val="0"/>
          <w:numId w:val="1001"/>
        </w:numPr>
        <w:pStyle w:val="Compact"/>
      </w:pPr>
      <w:r>
        <w:t xml:space="preserve">Evaluating the model's impact on classroom practices and student outcomes in selected Almaty schools</w:t>
      </w:r>
    </w:p>
    <w:p>
      <w:pPr>
        <w:pStyle w:val="FirstParagraph"/>
      </w:pPr>
      <w:r>
        <w:t xml:space="preserve">Key research questions guide this investigation:</w:t>
      </w:r>
    </w:p>
    <w:p>
      <w:pPr>
        <w:pStyle w:val="BodyText"/>
      </w:pPr>
      <w:r>
        <w:t xml:space="preserve">How do socio-cultural factors in Almaty (e.g., multi-ethnic classrooms, urban poverty) uniquely shape secondary teaching challenges?</w:t>
      </w:r>
    </w:p>
    <w:p>
      <w:pPr>
        <w:pStyle w:val="BodyText"/>
      </w:pPr>
      <w:r>
        <w:t xml:space="preserve">What elements of teacher training are most effective for Kazakhstan’s secondary educators when adapted to Almaty’s urban context?</w:t>
      </w:r>
    </w:p>
    <w:p>
      <w:pPr>
        <w:pStyle w:val="BodyText"/>
      </w:pPr>
      <w:r>
        <w:t xml:space="preserve">How can technology integration be optimized without overwhelming teachers in resource-constrained settings?</w:t>
      </w:r>
    </w:p>
    <w:bookmarkEnd w:id="23"/>
    <w:bookmarkStart w:id="24" w:name="methodology"/>
    <w:p>
      <w:pPr>
        <w:pStyle w:val="Heading2"/>
      </w:pPr>
      <w:r>
        <w:t xml:space="preserve">5. Methodology</w:t>
      </w:r>
    </w:p>
    <w:p>
      <w:pPr>
        <w:pStyle w:val="FirstParagraph"/>
      </w:pPr>
      <w:r>
        <w:t xml:space="preserve">A three-phase mixed-methods approach will be employed across 10 representative secondary schools in Almaty:</w:t>
      </w:r>
    </w:p>
    <w:p>
      <w:pPr>
        <w:numPr>
          <w:ilvl w:val="0"/>
          <w:numId w:val="1002"/>
        </w:numPr>
        <w:pStyle w:val="Compact"/>
      </w:pPr>
      <w:r>
        <w:rPr>
          <w:bCs/>
          <w:b/>
        </w:rPr>
        <w:t xml:space="preserve">Phase 1 (Qualitative):</w:t>
      </w:r>
      <w:r>
        <w:t xml:space="preserve"> </w:t>
      </w:r>
      <w:r>
        <w:t xml:space="preserve">Focus groups with 80+ teachers and school leaders to identify context-specific barriers. In-depth interviews will explore experiences with digital tools, inclusion, and cultural responsiveness.</w:t>
      </w:r>
    </w:p>
    <w:p>
      <w:pPr>
        <w:numPr>
          <w:ilvl w:val="0"/>
          <w:numId w:val="1002"/>
        </w:numPr>
        <w:pStyle w:val="Compact"/>
      </w:pPr>
      <w:r>
        <w:rPr>
          <w:bCs/>
          <w:b/>
        </w:rPr>
        <w:t xml:space="preserve">Phase 2 (Co-Design):</w:t>
      </w:r>
      <w:r>
        <w:t xml:space="preserve"> </w:t>
      </w:r>
      <w:r>
        <w:t xml:space="preserve">Collaborative workshops with teachers, education officials (Almaty Department of Education), and curriculum experts to prototype the training model. This ensures the solution emerges from Almaty’s educational ecosystem.</w:t>
      </w:r>
    </w:p>
    <w:p>
      <w:pPr>
        <w:numPr>
          <w:ilvl w:val="0"/>
          <w:numId w:val="1002"/>
        </w:numPr>
        <w:pStyle w:val="Compact"/>
      </w:pPr>
      <w:r>
        <w:rPr>
          <w:bCs/>
          <w:b/>
        </w:rPr>
        <w:t xml:space="preserve">Phase 3 (Quantitative/Qualitative Evaluation):</w:t>
      </w:r>
      <w:r>
        <w:t xml:space="preserve"> </w:t>
      </w:r>
      <w:r>
        <w:t xml:space="preserve">A 12-month pilot in 5 schools, measuring changes via pre/post-teacher surveys, classroom observations (using a validated rubric), and student assessment data. Statistical analysis will determine impact on pedagogical practices.</w:t>
      </w:r>
    </w:p>
    <w:p>
      <w:pPr>
        <w:pStyle w:val="FirstParagraph"/>
      </w:pPr>
      <w:r>
        <w:t xml:space="preserve">Participant selection prioritizes diversity: public vs. private schools, urban vs. peri-urban locations, and varying teacher experience levels to capture Almaty’s full spectrum.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Kazakhstan Almaty:</w:t>
      </w:r>
    </w:p>
    <w:p>
      <w:pPr>
        <w:numPr>
          <w:ilvl w:val="0"/>
          <w:numId w:val="1003"/>
        </w:numPr>
        <w:pStyle w:val="Compact"/>
      </w:pPr>
      <w:r>
        <w:rPr>
          <w:bCs/>
          <w:b/>
        </w:rPr>
        <w:t xml:space="preserve">Contextualized Framework:</w:t>
      </w:r>
      <w:r>
        <w:t xml:space="preserve"> </w:t>
      </w:r>
      <w:r>
        <w:t xml:space="preserve">A scalable training model co-created with Almaty educators, embedding Kazakh pedagogical traditions (e.g., "Gulzhau" collaborative learning) into modern strategies. Unlike generic programs, this will address Almaty-specific pain points like accommodating Uzbek/Kazakh/Turkish-speaking students.</w:t>
      </w:r>
    </w:p>
    <w:p>
      <w:pPr>
        <w:numPr>
          <w:ilvl w:val="0"/>
          <w:numId w:val="1003"/>
        </w:numPr>
        <w:pStyle w:val="Compact"/>
      </w:pPr>
      <w:r>
        <w:rPr>
          <w:bCs/>
          <w:b/>
        </w:rPr>
        <w:t xml:space="preserve">Policy Impact:</w:t>
      </w:r>
      <w:r>
        <w:t xml:space="preserve"> </w:t>
      </w:r>
      <w:r>
        <w:t xml:space="preserve">Findings will directly inform the Almaty Department of Education’s 2025-2030 teacher development strategy, potentially influencing national policy via Kazakhstan’s Ministry of Education.</w:t>
      </w:r>
    </w:p>
    <w:p>
      <w:pPr>
        <w:numPr>
          <w:ilvl w:val="0"/>
          <w:numId w:val="1003"/>
        </w:numPr>
        <w:pStyle w:val="Compact"/>
      </w:pPr>
      <w:r>
        <w:rPr>
          <w:bCs/>
          <w:b/>
        </w:rPr>
        <w:t xml:space="preserve">Educational Equity:</w:t>
      </w:r>
      <w:r>
        <w:t xml:space="preserve"> </w:t>
      </w:r>
      <w:r>
        <w:t xml:space="preserve">By targeting inclusive pedagogy, the model aims to reduce achievement gaps for marginalized students (e.g., low-income or migrant children), directly supporting Kazakhstan’s SDG 4 goals in Almaty.</w:t>
      </w:r>
    </w:p>
    <w:p>
      <w:pPr>
        <w:pStyle w:val="FirstParagraph"/>
      </w:pPr>
      <w:r>
        <w:t xml:space="preserve">The significance extends beyond academia: a successful implementation could position Almaty as a national benchmark for urban secondary teacher development, attracting international partnerships (e.g., with OECD or EU education initiatives).</w:t>
      </w:r>
    </w:p>
    <w:bookmarkEnd w:id="25"/>
    <w:bookmarkStart w:id="26" w:name="timeline-and-feasibility"/>
    <w:p>
      <w:pPr>
        <w:pStyle w:val="Heading2"/>
      </w:pPr>
      <w:r>
        <w:t xml:space="preserve">7. Timeline and Feasibility</w:t>
      </w:r>
    </w:p>
    <w:p>
      <w:pPr>
        <w:pStyle w:val="FirstParagraph"/>
      </w:pPr>
      <w:r>
        <w:t xml:space="preserve">Conducted over 18 months within Almaty’s educational infrastructure, the project leverages existing partnerships: Almaty State University (for research support) and the Almaty City Department of Education (for school access). Key milestones include:</w:t>
      </w:r>
    </w:p>
    <w:p>
      <w:pPr>
        <w:numPr>
          <w:ilvl w:val="0"/>
          <w:numId w:val="1004"/>
        </w:numPr>
        <w:pStyle w:val="Compact"/>
      </w:pPr>
      <w:r>
        <w:rPr>
          <w:iCs/>
          <w:i/>
        </w:rPr>
        <w:t xml:space="preserve">Months 1-3</w:t>
      </w:r>
      <w:r>
        <w:t xml:space="preserve">: Baseline data collection and stakeholder mapping</w:t>
      </w:r>
    </w:p>
    <w:p>
      <w:pPr>
        <w:numPr>
          <w:ilvl w:val="0"/>
          <w:numId w:val="1004"/>
        </w:numPr>
        <w:pStyle w:val="Compact"/>
      </w:pPr>
      <w:r>
        <w:rPr>
          <w:iCs/>
          <w:i/>
        </w:rPr>
        <w:t xml:space="preserve">Months 4-6</w:t>
      </w:r>
      <w:r>
        <w:t xml:space="preserve">: Co-design workshops with teachers and policymakers</w:t>
      </w:r>
    </w:p>
    <w:p>
      <w:pPr>
        <w:numPr>
          <w:ilvl w:val="0"/>
          <w:numId w:val="1004"/>
        </w:numPr>
        <w:pStyle w:val="Compact"/>
      </w:pPr>
      <w:r>
        <w:rPr>
          <w:iCs/>
          <w:i/>
        </w:rPr>
        <w:t xml:space="preserve">Months 7-15</w:t>
      </w:r>
      <w:r>
        <w:t xml:space="preserve">: Pilot implementation and iterative refinement</w:t>
      </w:r>
    </w:p>
    <w:p>
      <w:pPr>
        <w:numPr>
          <w:ilvl w:val="0"/>
          <w:numId w:val="1004"/>
        </w:numPr>
        <w:pStyle w:val="Compact"/>
      </w:pPr>
      <w:r>
        <w:rPr>
          <w:iCs/>
          <w:i/>
        </w:rPr>
        <w:t xml:space="preserve">Months 16-18</w:t>
      </w:r>
      <w:r>
        <w:t xml:space="preserve">: Impact assessment, report finalization, and policy briefs for Almaty officials.</w:t>
      </w:r>
    </w:p>
    <w:p>
      <w:pPr>
        <w:pStyle w:val="FirstParagraph"/>
      </w:pPr>
      <w:r>
        <w:t xml:space="preserve">Feasibility is ensured through collaboration with local institutions—eliminating logistical barriers common in external research. The project aligns with Kazakhstan’s "Digital Kazakhstan" strategy, enhancing its political relevance in Almaty.</w:t>
      </w:r>
    </w:p>
    <w:bookmarkEnd w:id="26"/>
    <w:bookmarkStart w:id="27" w:name="conclusion"/>
    <w:p>
      <w:pPr>
        <w:pStyle w:val="Heading2"/>
      </w:pPr>
      <w:r>
        <w:t xml:space="preserve">8. Conclusion</w:t>
      </w:r>
    </w:p>
    <w:p>
      <w:pPr>
        <w:pStyle w:val="FirstParagraph"/>
      </w:pPr>
      <w:r>
        <w:t xml:space="preserve">The proposed Thesis Proposal addresses a critical gap in secondary education by centering the experiences of</w:t>
      </w:r>
      <w:r>
        <w:t xml:space="preserve"> </w:t>
      </w:r>
      <w:r>
        <w:rPr>
          <w:iCs/>
          <w:i/>
        </w:rPr>
        <w:t xml:space="preserve">Teacher Secondary</w:t>
      </w:r>
      <w:r>
        <w:t xml:space="preserve"> </w:t>
      </w:r>
      <w:r>
        <w:t xml:space="preserve">within Kazakhstan Almaty. It moves beyond theoretical frameworks to deliver an actionable, locally rooted solution for the city’s educators—where over 60% of students reside in multicultural urban environments demanding nuanced teaching approaches. By prioritizing Almaty’s unique sociocultural fabric and operational realities, this research promises not just academic contribution but tangible improvements in classroom quality for thousands of Kazakhstani youth. The outcome will empower</w:t>
      </w:r>
      <w:r>
        <w:t xml:space="preserve"> </w:t>
      </w:r>
      <w:r>
        <w:rPr>
          <w:iCs/>
          <w:i/>
        </w:rPr>
        <w:t xml:space="preserve">Teacher Secondary</w:t>
      </w:r>
      <w:r>
        <w:t xml:space="preserve"> </w:t>
      </w:r>
      <w:r>
        <w:t xml:space="preserve">as catalysts for equitable, future-ready education in Kazakhstan’s most dynamic city.</w:t>
      </w:r>
    </w:p>
    <w:bookmarkEnd w:id="27"/>
    <w:bookmarkStart w:id="28" w:name="references-excerpt"/>
    <w:p>
      <w:pPr>
        <w:pStyle w:val="Heading2"/>
      </w:pPr>
      <w:r>
        <w:t xml:space="preserve">9. References (Excerpt)</w:t>
      </w:r>
    </w:p>
    <w:p>
      <w:pPr>
        <w:pStyle w:val="FirstParagraph"/>
      </w:pPr>
      <w:r>
        <w:t xml:space="preserve">Darling-Hammond, L. (2017). Learning to Teach for Equity and Social Justice. Teachers College Record.</w:t>
      </w:r>
      <w:r>
        <w:br/>
      </w:r>
      <w:r>
        <w:t xml:space="preserve">Kazakhstan Ministry of Education. (2023). National Education Statistics: Almaty Region Report.</w:t>
      </w:r>
      <w:r>
        <w:br/>
      </w:r>
      <w:r>
        <w:t xml:space="preserve">Kozhagulova, A. (2023). Urban Teacher Challenges in Central Asia: The Almaty Case Study. Journal of Asian Educational Research.</w:t>
      </w:r>
      <w:r>
        <w:br/>
      </w:r>
      <w:r>
        <w:t xml:space="preserve">OECD. (2022). Teaching for the Future: Singapore’s Coaching Model and Implications for Kazakhstan.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Secondary Teacher Effectiveness in Kazakhstan Almaty</dc:title>
  <dc:creator/>
  <dc:language>en</dc:language>
  <cp:keywords/>
  <dcterms:created xsi:type="dcterms:W3CDTF">2026-07-23T02:27:25Z</dcterms:created>
  <dcterms:modified xsi:type="dcterms:W3CDTF">2026-07-23T02:27:25Z</dcterms:modified>
</cp:coreProperties>
</file>

<file path=docProps/custom.xml><?xml version="1.0" encoding="utf-8"?>
<Properties xmlns="http://schemas.openxmlformats.org/officeDocument/2006/custom-properties" xmlns:vt="http://schemas.openxmlformats.org/officeDocument/2006/docPropsVTypes"/>
</file>