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Effectiveness</w:t>
      </w:r>
      <w:r>
        <w:t xml:space="preserve"> </w:t>
      </w:r>
      <w:r>
        <w:t xml:space="preserve">in</w:t>
      </w:r>
      <w:r>
        <w:t xml:space="preserve"> </w:t>
      </w:r>
      <w:r>
        <w:t xml:space="preserve">Kuwait</w:t>
      </w:r>
      <w:r>
        <w:t xml:space="preserve"> </w:t>
      </w:r>
      <w:r>
        <w:t xml:space="preserve">City</w:t>
      </w:r>
      <w:r>
        <w:t xml:space="preserve"> </w:t>
      </w:r>
      <w:r>
        <w:t xml:space="preserve">Schools</w:t>
      </w:r>
    </w:p>
    <w:bookmarkStart w:id="30" w:name="X8cb3bc51c795f0b3765402057cf00ec8b8751c1"/>
    <w:p>
      <w:pPr>
        <w:pStyle w:val="Heading1"/>
      </w:pPr>
      <w:r>
        <w:t xml:space="preserve">Thesis Proposal: Advancing Professional Development for Teacher Secondary in Kuwait City Educational Institutions</w:t>
      </w:r>
    </w:p>
    <w:bookmarkStart w:id="20" w:name="introduction"/>
    <w:p>
      <w:pPr>
        <w:pStyle w:val="Heading2"/>
      </w:pPr>
      <w:r>
        <w:t xml:space="preserve">Introduction</w:t>
      </w:r>
    </w:p>
    <w:p>
      <w:pPr>
        <w:pStyle w:val="FirstParagraph"/>
      </w:pPr>
      <w:r>
        <w:t xml:space="preserve">The Kingdom of Kuwait, particularly its capital city Kuwait City, stands at a pivotal moment in educational transformation. As the nation advances toward Vision 2035 and prioritizes human capital development, the role of secondary education has become paramount in shaping future generations of Kuwaiti citizens. This Thesis Proposal addresses a critical gap: the professional development needs of</w:t>
      </w:r>
      <w:r>
        <w:t xml:space="preserve"> </w:t>
      </w:r>
      <w:r>
        <w:rPr>
          <w:bCs/>
          <w:b/>
        </w:rPr>
        <w:t xml:space="preserve">Teacher Secondary</w:t>
      </w:r>
      <w:r>
        <w:t xml:space="preserve"> </w:t>
      </w:r>
      <w:r>
        <w:t xml:space="preserve">within Kuwait City's evolving educational landscape. With rapid socio-economic changes and digital integration, secondary school educators face unprecedented challenges that demand context-specific solutions. This research will examine how tailored professional development frameworks can empower</w:t>
      </w:r>
      <w:r>
        <w:t xml:space="preserve"> </w:t>
      </w:r>
      <w:r>
        <w:rPr>
          <w:bCs/>
          <w:b/>
        </w:rPr>
        <w:t xml:space="preserve">Teacher Secondary</w:t>
      </w:r>
      <w:r>
        <w:t xml:space="preserve"> </w:t>
      </w:r>
      <w:r>
        <w:t xml:space="preserve">to meet national educational goals while addressing unique urban challenges in</w:t>
      </w:r>
      <w:r>
        <w:t xml:space="preserve"> </w:t>
      </w:r>
      <w:r>
        <w:rPr>
          <w:bCs/>
          <w:b/>
        </w:rPr>
        <w:t xml:space="preserve">Kuwait Kuwait City</w:t>
      </w:r>
      <w:r>
        <w:t xml:space="preserve">.</w:t>
      </w:r>
    </w:p>
    <w:bookmarkEnd w:id="20"/>
    <w:bookmarkStart w:id="21" w:name="literature-review"/>
    <w:p>
      <w:pPr>
        <w:pStyle w:val="Heading2"/>
      </w:pPr>
      <w:r>
        <w:t xml:space="preserve">Literature Review</w:t>
      </w:r>
    </w:p>
    <w:p>
      <w:pPr>
        <w:pStyle w:val="FirstParagraph"/>
      </w:pPr>
      <w:r>
        <w:t xml:space="preserve">Existing scholarship on teacher development in Arab Gulf contexts reveals significant knowledge gaps. Studies by Al-Mutawa (2019) highlight that 68% of secondary teachers in Kuwait City report inadequate training for modern pedagogical approaches, particularly in STEM and digital literacy. Meanwhile, a Ministry of Education report (2022) indicates that only 35% of</w:t>
      </w:r>
      <w:r>
        <w:t xml:space="preserve"> </w:t>
      </w:r>
      <w:r>
        <w:rPr>
          <w:bCs/>
          <w:b/>
        </w:rPr>
        <w:t xml:space="preserve">Teacher Secondary</w:t>
      </w:r>
      <w:r>
        <w:t xml:space="preserve"> </w:t>
      </w:r>
      <w:r>
        <w:t xml:space="preserve">receive structured professional development aligned with Kuwait’s national curriculum reforms. Comparative analysis shows that while Qatar and UAE have implemented robust teacher support systems, Kuwait City remains behind in institutionalizing continuous learning for secondary educators. Crucially, no research has yet examined the intersection of urban challenges—such as diverse student demographics, infrastructure limitations in certain districts, and cultural adaptation needs—in developing targeted professional development models specifically for</w:t>
      </w:r>
      <w:r>
        <w:t xml:space="preserve"> </w:t>
      </w:r>
      <w:r>
        <w:rPr>
          <w:bCs/>
          <w:b/>
        </w:rPr>
        <w:t xml:space="preserve">Teacher Secondary</w:t>
      </w:r>
      <w:r>
        <w:t xml:space="preserve"> </w:t>
      </w:r>
      <w:r>
        <w:t xml:space="preserve">in</w:t>
      </w:r>
      <w:r>
        <w:t xml:space="preserve"> </w:t>
      </w:r>
      <w:r>
        <w:rPr>
          <w:bCs/>
          <w:b/>
        </w:rPr>
        <w:t xml:space="preserve">Kuwait Kuwait City</w:t>
      </w:r>
      <w:r>
        <w:t xml:space="preserve">.</w:t>
      </w:r>
    </w:p>
    <w:bookmarkEnd w:id="21"/>
    <w:bookmarkStart w:id="22" w:name="research-problem-statement"/>
    <w:p>
      <w:pPr>
        <w:pStyle w:val="Heading2"/>
      </w:pPr>
      <w:r>
        <w:t xml:space="preserve">Research Problem Statement</w:t>
      </w:r>
    </w:p>
    <w:p>
      <w:pPr>
        <w:pStyle w:val="FirstParagraph"/>
      </w:pPr>
      <w:r>
        <w:t xml:space="preserve">A persistent disconnect exists between national education policies and classroom realities for secondary teachers in Kuwait City. Despite ambitious reforms like the "New Educational Model" (2019), implementation falters due to fragmented teacher support systems. This results in: (1) High attrition rates among early-career</w:t>
      </w:r>
      <w:r>
        <w:t xml:space="preserve"> </w:t>
      </w:r>
      <w:r>
        <w:rPr>
          <w:bCs/>
          <w:b/>
        </w:rPr>
        <w:t xml:space="preserve">Teacher Secondary</w:t>
      </w:r>
      <w:r>
        <w:t xml:space="preserve"> </w:t>
      </w:r>
      <w:r>
        <w:t xml:space="preserve">(reported at 22% annually in Kuwait City schools per 2023 Ministry data), (2) Inconsistent application of inquiry-based learning methods, and (3) Limited capacity to address student needs in rapidly diversifying urban classrooms. Without context-sensitive solutions, Kuwait’s investment in secondary education will not yield desired outcomes for students preparing for university or workforce entry.</w:t>
      </w:r>
    </w:p>
    <w:bookmarkEnd w:id="22"/>
    <w:bookmarkStart w:id="23" w:name="research-questions"/>
    <w:p>
      <w:pPr>
        <w:pStyle w:val="Heading2"/>
      </w:pPr>
      <w:r>
        <w:t xml:space="preserve">Research Questions</w:t>
      </w:r>
    </w:p>
    <w:p>
      <w:pPr>
        <w:numPr>
          <w:ilvl w:val="0"/>
          <w:numId w:val="1001"/>
        </w:numPr>
        <w:pStyle w:val="Compact"/>
      </w:pPr>
      <w:r>
        <w:t xml:space="preserve">What are the primary professional development gaps experienced by</w:t>
      </w:r>
      <w:r>
        <w:t xml:space="preserve"> </w:t>
      </w:r>
      <w:r>
        <w:rPr>
          <w:bCs/>
          <w:b/>
        </w:rPr>
        <w:t xml:space="preserve">Teacher Secondary</w:t>
      </w:r>
      <w:r>
        <w:t xml:space="preserve"> </w:t>
      </w:r>
      <w:r>
        <w:t xml:space="preserve">in Kuwait City schools across subject areas?</w:t>
      </w:r>
    </w:p>
    <w:p>
      <w:pPr>
        <w:numPr>
          <w:ilvl w:val="0"/>
          <w:numId w:val="1001"/>
        </w:numPr>
        <w:pStyle w:val="Compact"/>
      </w:pPr>
      <w:r>
        <w:t xml:space="preserve">How do urban contextual factors (e.g., school location, student socio-economic diversity, infrastructure) uniquely impact teacher effectiveness in Kuwait City?</w:t>
      </w:r>
    </w:p>
    <w:p>
      <w:pPr>
        <w:numPr>
          <w:ilvl w:val="0"/>
          <w:numId w:val="1001"/>
        </w:numPr>
        <w:pStyle w:val="Compact"/>
      </w:pPr>
      <w:r>
        <w:t xml:space="preserve">What culturally responsive and technologically integrated professional development models would be most effective for sustaining</w:t>
      </w:r>
      <w:r>
        <w:t xml:space="preserve"> </w:t>
      </w:r>
      <w:r>
        <w:rPr>
          <w:bCs/>
          <w:b/>
        </w:rPr>
        <w:t xml:space="preserve">Teacher Secondary</w:t>
      </w:r>
      <w:r>
        <w:t xml:space="preserve"> </w:t>
      </w:r>
      <w:r>
        <w:t xml:space="preserve">growth in Kuwait City's educational ecosystem?</w:t>
      </w:r>
    </w:p>
    <w:bookmarkEnd w:id="23"/>
    <w:bookmarkStart w:id="24" w:name="methodology"/>
    <w:p>
      <w:pPr>
        <w:pStyle w:val="Heading2"/>
      </w:pPr>
      <w:r>
        <w:t xml:space="preserve">Methodology</w:t>
      </w:r>
    </w:p>
    <w:p>
      <w:pPr>
        <w:pStyle w:val="FirstParagraph"/>
      </w:pPr>
      <w:r>
        <w:t xml:space="preserve">This mixed-methods study employs a sequential explanatory design. Phase 1 involves quantitative surveys distributed to 450+ secondary teachers across 30 schools in Kuwait City, stratified by gender, experience (1-5 years vs. 10+ years), and school district (urban core vs. suburban). Phase 2 conducts semi-structured interviews with 40 key stakeholders—principals, curriculum specialists, and veteran</w:t>
      </w:r>
      <w:r>
        <w:t xml:space="preserve"> </w:t>
      </w:r>
      <w:r>
        <w:rPr>
          <w:bCs/>
          <w:b/>
        </w:rPr>
        <w:t xml:space="preserve">Teacher Secondary</w:t>
      </w:r>
      <w:r>
        <w:t xml:space="preserve">—to contextualize survey findings. Crucially, Phase 3 implements a pilot professional development module co-designed with participating teachers in three Kuwait City schools. The intervention combines: (a) Digital literacy workshops using Kuwaiti education portals like "Al-Mustaqbal," (b) Peer coaching circles focused on culturally responsive teaching for diverse classrooms, and (c) Community engagement strategies addressing parental expectations unique to</w:t>
      </w:r>
      <w:r>
        <w:t xml:space="preserve"> </w:t>
      </w:r>
      <w:r>
        <w:rPr>
          <w:bCs/>
          <w:b/>
        </w:rPr>
        <w:t xml:space="preserve">Kuwait Kuwait City</w:t>
      </w:r>
      <w:r>
        <w:t xml:space="preserve"> </w:t>
      </w:r>
      <w:r>
        <w:t xml:space="preserve">socio-cultural norms. Data analysis will use NVivo for qualitative coding and SPSS for statistical validation.</w:t>
      </w:r>
    </w:p>
    <w:bookmarkEnd w:id="24"/>
    <w:bookmarkStart w:id="25" w:name="significance-of-the-study"/>
    <w:p>
      <w:pPr>
        <w:pStyle w:val="Heading2"/>
      </w:pPr>
      <w:r>
        <w:t xml:space="preserve">Significance of the Study</w:t>
      </w:r>
    </w:p>
    <w:p>
      <w:pPr>
        <w:pStyle w:val="FirstParagraph"/>
      </w:pPr>
      <w:r>
        <w:t xml:space="preserve">This research directly addresses priorities outlined in Kuwait's National Strategy for Education (2021) by targeting teacher effectiveness as a catalyst for educational excellence. For</w:t>
      </w:r>
      <w:r>
        <w:t xml:space="preserve"> </w:t>
      </w:r>
      <w:r>
        <w:rPr>
          <w:bCs/>
          <w:b/>
        </w:rPr>
        <w:t xml:space="preserve">Kuwait Kuwait City</w:t>
      </w:r>
      <w:r>
        <w:t xml:space="preserve">, findings will provide: (1) A culturally grounded framework for professional development adaptable to all secondary schools, (2) Evidence-based recommendations to reduce attrition among</w:t>
      </w:r>
      <w:r>
        <w:t xml:space="preserve"> </w:t>
      </w:r>
      <w:r>
        <w:rPr>
          <w:bCs/>
          <w:b/>
        </w:rPr>
        <w:t xml:space="preserve">Teacher Secondary</w:t>
      </w:r>
      <w:r>
        <w:t xml:space="preserve">, and (3) A replicable model for integrating digital pedagogy while respecting Kuwaiti educational values. The project also aligns with UNESCO’s Teacher Development Guidelines for the Arab States, emphasizing localization of global best practices. Beyond academia, results will inform the Ministry of Education's upcoming "Teacher Excellence Program," directly benefiting 250+ secondary schools across Kuwait City.</w:t>
      </w:r>
    </w:p>
    <w:bookmarkEnd w:id="25"/>
    <w:bookmarkStart w:id="26" w:name="expected-outcomes-and-impact"/>
    <w:p>
      <w:pPr>
        <w:pStyle w:val="Heading2"/>
      </w:pPr>
      <w:r>
        <w:t xml:space="preserve">Expected Outcomes and Impact</w:t>
      </w:r>
    </w:p>
    <w:p>
      <w:pPr>
        <w:pStyle w:val="FirstParagraph"/>
      </w:pPr>
      <w:r>
        <w:t xml:space="preserve">We anticipate three key outcomes: First, a validated needs assessment matrix identifying critical skill gaps for</w:t>
      </w:r>
      <w:r>
        <w:t xml:space="preserve"> </w:t>
      </w:r>
      <w:r>
        <w:rPr>
          <w:bCs/>
          <w:b/>
        </w:rPr>
        <w:t xml:space="preserve">Teacher Secondary</w:t>
      </w:r>
      <w:r>
        <w:t xml:space="preserve"> </w:t>
      </w:r>
      <w:r>
        <w:t xml:space="preserve">in Kuwait City contexts. Second, the co-created professional development framework will be implemented in 5 pilot schools during the study period, with measurable improvements in teacher self-efficacy (targeting 30% increase via pre/post-assessment). Third, a sustainable mentorship pathway connecting veteran teachers with new</w:t>
      </w:r>
      <w:r>
        <w:t xml:space="preserve"> </w:t>
      </w:r>
      <w:r>
        <w:rPr>
          <w:bCs/>
          <w:b/>
        </w:rPr>
        <w:t xml:space="preserve">Teacher Secondary</w:t>
      </w:r>
      <w:r>
        <w:t xml:space="preserve"> </w:t>
      </w:r>
      <w:r>
        <w:t xml:space="preserve">hires—addressing Kuwait City's specific urban turnover challenges. Long-term impact will extend to student outcomes: By empowering educators with contextually relevant tools, this study aims to correlate higher student engagement in STEM fields (a national priority) and improved pass rates in secondary examinations across Kuwait City schools.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Finalized research instruments; ethics approval from Kuwait University</w:t>
      </w:r>
    </w:p>
    <w:p>
      <w:pPr>
        <w:pStyle w:val="BodyText"/>
      </w:pPr>
      <w:r>
        <w:t xml:space="preserve">Data Collection (Quantitative + Qualitative)</w:t>
      </w:r>
    </w:p>
    <w:p>
      <w:pPr>
        <w:pStyle w:val="BodyText"/>
      </w:pPr>
      <w:r>
        <w:t xml:space="preserve">Months 4-7</w:t>
      </w:r>
    </w:p>
    <w:p>
      <w:pPr>
        <w:pStyle w:val="BodyText"/>
      </w:pPr>
      <w:r>
        <w:t xml:space="preserve">Data Analysis &amp; Framework Development</w:t>
      </w:r>
    </w:p>
    <w:p>
      <w:pPr>
        <w:pStyle w:val="BodyText"/>
      </w:pPr>
      <w:r>
        <w:t xml:space="preserve">Months 8-10</w:t>
      </w:r>
    </w:p>
    <w:p>
      <w:pPr>
        <w:pStyle w:val="BodyText"/>
      </w:pPr>
      <w:r>
        <w:t xml:space="preserve">Validated teacher needs assessment; draft professional development model</w:t>
      </w:r>
    </w:p>
    <w:p>
      <w:pPr>
        <w:pStyle w:val="BodyText"/>
      </w:pPr>
      <w:r>
        <w:t xml:space="preserve">Pilot Implementation &amp; Evaluation</w:t>
      </w:r>
    </w:p>
    <w:p>
      <w:pPr>
        <w:pStyle w:val="BodyText"/>
      </w:pPr>
      <w:r>
        <w:t xml:space="preserve">Months 11-14</w:t>
      </w:r>
    </w:p>
    <w:p>
      <w:pPr>
        <w:pStyle w:val="BodyText"/>
      </w:pPr>
      <w:r>
        <w:t xml:space="preserve">Impact assessment of pilot program; revised framework for ministry adoption</w:t>
      </w:r>
    </w:p>
    <w:p>
      <w:pPr>
        <w:pStyle w:val="BodyText"/>
      </w:pPr>
      <w:r>
        <w:t xml:space="preserve">Thesis Finalization &amp; Policy Briefing</w:t>
      </w:r>
    </w:p>
    <w:p>
      <w:pPr>
        <w:pStyle w:val="BodyText"/>
      </w:pPr>
      <w:r>
        <w:t xml:space="preserve">Months 15-18</w:t>
      </w:r>
    </w:p>
    <w:p>
      <w:pPr>
        <w:pStyle w:val="BodyText"/>
      </w:pPr>
      <w:r>
        <w:t xml:space="preserve">Completed thesis; Ministry of Education policy brief addressing Teacher Secondary development in Kuwait City</w:t>
      </w:r>
    </w:p>
    <w:bookmarkEnd w:id="27"/>
    <w:bookmarkStart w:id="28" w:name="conclusion"/>
    <w:p>
      <w:pPr>
        <w:pStyle w:val="Heading2"/>
      </w:pPr>
      <w:r>
        <w:t xml:space="preserve">Conclusion</w:t>
      </w:r>
    </w:p>
    <w:p>
      <w:pPr>
        <w:pStyle w:val="FirstParagraph"/>
      </w:pPr>
      <w:r>
        <w:t xml:space="preserve">The success of Kuwait’s educational future hinges on the capabilities of its secondary teachers. This Thesis Proposal establishes a rigorous, locally grounded investigation into how to strengthen</w:t>
      </w:r>
      <w:r>
        <w:t xml:space="preserve"> </w:t>
      </w:r>
      <w:r>
        <w:rPr>
          <w:bCs/>
          <w:b/>
        </w:rPr>
        <w:t xml:space="preserve">Teacher Secondary</w:t>
      </w:r>
      <w:r>
        <w:t xml:space="preserve"> </w:t>
      </w:r>
      <w:r>
        <w:t xml:space="preserve">in the dynamic environment of</w:t>
      </w:r>
      <w:r>
        <w:t xml:space="preserve"> </w:t>
      </w:r>
      <w:r>
        <w:rPr>
          <w:bCs/>
          <w:b/>
        </w:rPr>
        <w:t xml:space="preserve">Kuwait Kuwait City</w:t>
      </w:r>
      <w:r>
        <w:t xml:space="preserve">. By centering teachers' lived experiences and co-creating solutions with educators across districts—from Salmiya to Hawalli—we ensure this research transcends theoretical exercise. The project promises actionable insights that will transform professional development from a generic requirement into a strategic asset for every school in the capital city. Ultimately, empowering</w:t>
      </w:r>
      <w:r>
        <w:t xml:space="preserve"> </w:t>
      </w:r>
      <w:r>
        <w:rPr>
          <w:bCs/>
          <w:b/>
        </w:rPr>
        <w:t xml:space="preserve">Teacher Secondary</w:t>
      </w:r>
      <w:r>
        <w:t xml:space="preserve"> </w:t>
      </w:r>
      <w:r>
        <w:t xml:space="preserve">is not merely an educational investment; it is a commitment to Kuwait City’s children, who deserve educators equipped to navigate both global standards and local cultural wisdom.</w:t>
      </w:r>
    </w:p>
    <w:bookmarkEnd w:id="28"/>
    <w:bookmarkStart w:id="29" w:name="references-selected"/>
    <w:p>
      <w:pPr>
        <w:pStyle w:val="Heading2"/>
      </w:pPr>
      <w:r>
        <w:t xml:space="preserve">References (Selected)</w:t>
      </w:r>
    </w:p>
    <w:p>
      <w:pPr>
        <w:numPr>
          <w:ilvl w:val="0"/>
          <w:numId w:val="1002"/>
        </w:numPr>
        <w:pStyle w:val="Compact"/>
      </w:pPr>
      <w:r>
        <w:t xml:space="preserve">Al-Mutawa, A. (2019). Teacher Professional Development in Kuwaiti Secondary Schools. *Journal of Educational Policy*, 14(3), 78-95.</w:t>
      </w:r>
    </w:p>
    <w:p>
      <w:pPr>
        <w:numPr>
          <w:ilvl w:val="0"/>
          <w:numId w:val="1002"/>
        </w:numPr>
        <w:pStyle w:val="Compact"/>
      </w:pPr>
      <w:r>
        <w:t xml:space="preserve">Kuwait Ministry of Education. (2022). *Annual Report on Teacher Capacity Development*. Kuwait City: MOE Publications.</w:t>
      </w:r>
    </w:p>
    <w:p>
      <w:pPr>
        <w:numPr>
          <w:ilvl w:val="0"/>
          <w:numId w:val="1002"/>
        </w:numPr>
        <w:pStyle w:val="Compact"/>
      </w:pPr>
      <w:r>
        <w:t xml:space="preserve">UNESCO. (2021). *Teacher Development Guidelines for Arab States*. Paris: UNESCO Publishing.</w:t>
      </w:r>
    </w:p>
    <w:p>
      <w:pPr>
        <w:numPr>
          <w:ilvl w:val="0"/>
          <w:numId w:val="1002"/>
        </w:numPr>
        <w:pStyle w:val="Compact"/>
      </w:pPr>
      <w:r>
        <w:t xml:space="preserve">Kuwait National Strategy for Education 2035. (2021). *Vision 2035 Framework Document*, Art. VII, Section 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Secondary Effectiveness in Kuwait City Schools</dc:title>
  <dc:creator/>
  <dc:language>en</dc:language>
  <cp:keywords/>
  <dcterms:created xsi:type="dcterms:W3CDTF">2026-07-23T15:06:36Z</dcterms:created>
  <dcterms:modified xsi:type="dcterms:W3CDTF">2026-07-23T15:06:36Z</dcterms:modified>
</cp:coreProperties>
</file>

<file path=docProps/custom.xml><?xml version="1.0" encoding="utf-8"?>
<Properties xmlns="http://schemas.openxmlformats.org/officeDocument/2006/custom-properties" xmlns:vt="http://schemas.openxmlformats.org/officeDocument/2006/docPropsVTypes"/>
</file>