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Teacher</w:t>
      </w:r>
      <w:r>
        <w:t xml:space="preserve"> </w:t>
      </w:r>
      <w:r>
        <w:t xml:space="preserve">Secondary</w:t>
      </w:r>
      <w:r>
        <w:t xml:space="preserve"> </w:t>
      </w:r>
      <w:r>
        <w:t xml:space="preserve">in</w:t>
      </w:r>
      <w:r>
        <w:t xml:space="preserve"> </w:t>
      </w:r>
      <w:r>
        <w:t xml:space="preserve">New</w:t>
      </w:r>
      <w:r>
        <w:t xml:space="preserve"> </w:t>
      </w:r>
      <w:r>
        <w:t xml:space="preserve">Zealand</w:t>
      </w:r>
      <w:r>
        <w:t xml:space="preserve"> </w:t>
      </w:r>
      <w:r>
        <w:t xml:space="preserve">Wellington</w:t>
      </w:r>
      <w:r>
        <w:t xml:space="preserve"> </w:t>
      </w:r>
      <w:r>
        <w:t xml:space="preserve">Context</w:t>
      </w:r>
    </w:p>
    <w:bookmarkStart w:id="29" w:name="Xcc04ff1b299f16c30f3d6e42fa04bfc941764e2"/>
    <w:p>
      <w:pPr>
        <w:pStyle w:val="Heading1"/>
      </w:pPr>
      <w:r>
        <w:t xml:space="preserve">Thesis Proposal: Enhancing Professional Resilience and Student Engagement for Teacher Secondary in New Zealand Wellington Schools</w:t>
      </w:r>
    </w:p>
    <w:bookmarkStart w:id="20" w:name="introduction-and-background"/>
    <w:p>
      <w:pPr>
        <w:pStyle w:val="Heading2"/>
      </w:pPr>
      <w:r>
        <w:t xml:space="preserve">1. Introduction and Background</w:t>
      </w:r>
    </w:p>
    <w:p>
      <w:pPr>
        <w:pStyle w:val="FirstParagraph"/>
      </w:pPr>
      <w:r>
        <w:t xml:space="preserve">This Thesis Proposal addresses a critical gap in contemporary educational practice within New Zealand's Wellington region, focusing specifically on the evolving role of the</w:t>
      </w:r>
      <w:r>
        <w:t xml:space="preserve"> </w:t>
      </w:r>
      <w:r>
        <w:rPr>
          <w:iCs/>
          <w:i/>
        </w:rPr>
        <w:t xml:space="preserve">Teacher Secondary</w:t>
      </w:r>
      <w:r>
        <w:t xml:space="preserve">. As Aotearoa New Zealand’s capital city, Wellington presents a unique educational landscape characterized by diverse student demographics, socio-economic disparities across its urban and suburban schools, and a rapidly changing curriculum framework. With over 50 secondary schools operating within the Greater Wellington region—including high-decile urban institutions like Kelston Girls' High School and low-decile community-focused settings like Porirua College—the challenges faced by</w:t>
      </w:r>
      <w:r>
        <w:t xml:space="preserve"> </w:t>
      </w:r>
      <w:r>
        <w:rPr>
          <w:iCs/>
          <w:i/>
        </w:rPr>
        <w:t xml:space="preserve">Teacher Secondary</w:t>
      </w:r>
      <w:r>
        <w:t xml:space="preserve"> </w:t>
      </w:r>
      <w:r>
        <w:t xml:space="preserve">demand context-specific research. This proposal argues that current support systems for</w:t>
      </w:r>
      <w:r>
        <w:t xml:space="preserve"> </w:t>
      </w:r>
      <w:r>
        <w:rPr>
          <w:iCs/>
          <w:i/>
        </w:rPr>
        <w:t xml:space="preserve">Teacher Secondary</w:t>
      </w:r>
      <w:r>
        <w:t xml:space="preserve"> </w:t>
      </w:r>
      <w:r>
        <w:t xml:space="preserve">in New Zealand Wellington remain fragmented, failing to address systemic pressures such as workload intensification, cultural responsiveness demands, and the aftermath of pandemic-era disruptions. By centering on Wellington's distinct educational ecosystem, this research aims to develop actionable strategies that empower</w:t>
      </w:r>
      <w:r>
        <w:t xml:space="preserve"> </w:t>
      </w:r>
      <w:r>
        <w:rPr>
          <w:iCs/>
          <w:i/>
        </w:rPr>
        <w:t xml:space="preserve">Teacher Secondary</w:t>
      </w:r>
      <w:r>
        <w:t xml:space="preserve"> </w:t>
      </w:r>
      <w:r>
        <w:t xml:space="preserve">practitioners to enhance student outcomes while sustaining their professional well-being.</w:t>
      </w:r>
    </w:p>
    <w:bookmarkEnd w:id="20"/>
    <w:bookmarkStart w:id="21" w:name="problem-statement"/>
    <w:p>
      <w:pPr>
        <w:pStyle w:val="Heading2"/>
      </w:pPr>
      <w:r>
        <w:t xml:space="preserve">2. Problem Statement</w:t>
      </w:r>
    </w:p>
    <w:p>
      <w:pPr>
        <w:pStyle w:val="FirstParagraph"/>
      </w:pPr>
      <w:r>
        <w:t xml:space="preserve">New Zealand’s Ministry of Education reports a 15% decline in secondary teacher retention rates across Wellington since 2019, with burnout and cultural mismatch cited as primary drivers (MoE, 2023). Crucially, Wellington’s unique context—featuring significant Māori and Pacific Islander student populations (38% of secondary enrolments), high rates of transient student mobility due to housing instability, and innovative charter schools like Wellington High School’s Te Aroha Project—creates pressure points not adequately addressed by national policy. Current professional development frameworks often overlook the localized realities facing</w:t>
      </w:r>
      <w:r>
        <w:t xml:space="preserve"> </w:t>
      </w:r>
      <w:r>
        <w:rPr>
          <w:iCs/>
          <w:i/>
        </w:rPr>
        <w:t xml:space="preserve">Teacher Secondary</w:t>
      </w:r>
      <w:r>
        <w:t xml:space="preserve"> </w:t>
      </w:r>
      <w:r>
        <w:t xml:space="preserve">in Wellington, resulting in a disconnect between Ministry guidelines and on-the-ground teaching practices. This gap directly impacts student achievement gaps, particularly for Treaty of Waitangi-aligned pedagogy implementation and NCEA success rates. Without targeted intervention grounded in Wellington’s educational ecology, the viability of</w:t>
      </w:r>
      <w:r>
        <w:t xml:space="preserve"> </w:t>
      </w:r>
      <w:r>
        <w:rPr>
          <w:iCs/>
          <w:i/>
        </w:rPr>
        <w:t xml:space="preserve">Teacher Secondary</w:t>
      </w:r>
      <w:r>
        <w:t xml:space="preserve"> </w:t>
      </w:r>
      <w:r>
        <w:t xml:space="preserve">as a catalyst for equity remains compromised.</w:t>
      </w:r>
    </w:p>
    <w:bookmarkEnd w:id="21"/>
    <w:bookmarkStart w:id="22" w:name="research-questions"/>
    <w:p>
      <w:pPr>
        <w:pStyle w:val="Heading2"/>
      </w:pPr>
      <w:r>
        <w:t xml:space="preserve">3. Research Questions</w:t>
      </w:r>
    </w:p>
    <w:p>
      <w:pPr>
        <w:numPr>
          <w:ilvl w:val="0"/>
          <w:numId w:val="1001"/>
        </w:numPr>
        <w:pStyle w:val="Compact"/>
      </w:pPr>
      <w:r>
        <w:t xml:space="preserve">To what extent do Wellington-specific socio-cultural factors influence the daily practice and resilience of Teacher Secondary?</w:t>
      </w:r>
    </w:p>
    <w:p>
      <w:pPr>
        <w:numPr>
          <w:ilvl w:val="0"/>
          <w:numId w:val="1001"/>
        </w:numPr>
        <w:pStyle w:val="Compact"/>
      </w:pPr>
      <w:r>
        <w:t xml:space="preserve">How can professional learning communities (PLCs) be co-designed with Teacher Secondary in New Zealand Wellington to address contextual challenges like decile-driven resource allocation?</w:t>
      </w:r>
    </w:p>
    <w:p>
      <w:pPr>
        <w:numPr>
          <w:ilvl w:val="0"/>
          <w:numId w:val="1001"/>
        </w:numPr>
        <w:pStyle w:val="Compact"/>
      </w:pPr>
      <w:r>
        <w:t xml:space="preserve">What evidence-based strategies for culturally sustaining pedagogy are most effective when implemented by Teacher Secondary within Wellington's unique urban-geographic constraints?</w:t>
      </w:r>
    </w:p>
    <w:bookmarkEnd w:id="22"/>
    <w:bookmarkStart w:id="23" w:name="literature-review-key-themes"/>
    <w:p>
      <w:pPr>
        <w:pStyle w:val="Heading2"/>
      </w:pPr>
      <w:r>
        <w:t xml:space="preserve">4. Literature Review (Key Themes)</w:t>
      </w:r>
    </w:p>
    <w:p>
      <w:pPr>
        <w:pStyle w:val="FirstParagraph"/>
      </w:pPr>
      <w:r>
        <w:t xml:space="preserve">Existing literature on secondary teacher attrition (Davies, 2021) and culturally responsive teaching (Bishop et al., 2018) provides foundational insights but lacks Wellington-specific analysis. While studies by the University of Otago highlight national trends (e.g., workload contributing to 43% of resignations), none examine Wellington’s intersectional dynamics—such as the impact of the city’s hilly topography on staff travel times across schools or how coastal community resilience post-2016 Kaikōura earthquake shapes student engagement. Crucially, no research centers on</w:t>
      </w:r>
      <w:r>
        <w:t xml:space="preserve"> </w:t>
      </w:r>
      <w:r>
        <w:rPr>
          <w:iCs/>
          <w:i/>
        </w:rPr>
        <w:t xml:space="preserve">Teacher Secondary</w:t>
      </w:r>
      <w:r>
        <w:t xml:space="preserve"> </w:t>
      </w:r>
      <w:r>
        <w:t xml:space="preserve">as a distinct professional cohort within Wellington’s tertiary education sector partnerships (e.g., Victoria University of Wellington’s Teacher Education Programme). This proposal bridges that gap by integrating Te Kotahitanga principles with localized data from Wellington’s school clusters, ensuring the research speaks directly to the realities of</w:t>
      </w:r>
      <w:r>
        <w:t xml:space="preserve"> </w:t>
      </w:r>
      <w:r>
        <w:rPr>
          <w:iCs/>
          <w:i/>
        </w:rPr>
        <w:t xml:space="preserve">Teacher Secondary</w:t>
      </w:r>
      <w:r>
        <w:t xml:space="preserve">.</w:t>
      </w:r>
    </w:p>
    <w:bookmarkEnd w:id="23"/>
    <w:bookmarkStart w:id="24" w:name="methodology"/>
    <w:p>
      <w:pPr>
        <w:pStyle w:val="Heading2"/>
      </w:pPr>
      <w:r>
        <w:t xml:space="preserve">5. Methodology</w:t>
      </w:r>
    </w:p>
    <w:p>
      <w:pPr>
        <w:pStyle w:val="FirstParagraph"/>
      </w:pPr>
      <w:r>
        <w:t xml:space="preserve">This mixed-methods study will employ a pragmatic research design across three phases:</w:t>
      </w:r>
    </w:p>
    <w:p>
      <w:pPr>
        <w:numPr>
          <w:ilvl w:val="0"/>
          <w:numId w:val="1002"/>
        </w:numPr>
        <w:pStyle w:val="Compact"/>
      </w:pPr>
      <w:r>
        <w:rPr>
          <w:bCs/>
          <w:b/>
        </w:rPr>
        <w:t xml:space="preserve">Phase 1: Context Mapping (3 months)</w:t>
      </w:r>
      <w:r>
        <w:t xml:space="preserve"> </w:t>
      </w:r>
      <w:r>
        <w:t xml:space="preserve">– Collaborative workshops with Wellington Principals’ Association and Wellington Student Support Services to document region-specific challenges affecting Teacher Secondary.</w:t>
      </w:r>
    </w:p>
    <w:p>
      <w:pPr>
        <w:numPr>
          <w:ilvl w:val="0"/>
          <w:numId w:val="1002"/>
        </w:numPr>
        <w:pStyle w:val="Compact"/>
      </w:pPr>
      <w:r>
        <w:rPr>
          <w:bCs/>
          <w:b/>
        </w:rPr>
        <w:t xml:space="preserve">Phase 2: Qualitative Inquiry (6 months)</w:t>
      </w:r>
      <w:r>
        <w:t xml:space="preserve"> </w:t>
      </w:r>
      <w:r>
        <w:t xml:space="preserve">– Semi-structured interviews with 30+ active</w:t>
      </w:r>
      <w:r>
        <w:t xml:space="preserve"> </w:t>
      </w:r>
      <w:r>
        <w:rPr>
          <w:iCs/>
          <w:i/>
        </w:rPr>
        <w:t xml:space="preserve">Teacher Secondary</w:t>
      </w:r>
      <w:r>
        <w:t xml:space="preserve"> </w:t>
      </w:r>
      <w:r>
        <w:t xml:space="preserve">across 15 Wellington schools (stratified by decile, urban/rural, and subject specializations) using a narrative inquiry approach to capture lived experiences.</w:t>
      </w:r>
    </w:p>
    <w:p>
      <w:pPr>
        <w:numPr>
          <w:ilvl w:val="0"/>
          <w:numId w:val="1002"/>
        </w:numPr>
        <w:pStyle w:val="Compact"/>
      </w:pPr>
      <w:r>
        <w:rPr>
          <w:bCs/>
          <w:b/>
        </w:rPr>
        <w:t xml:space="preserve">Phase 3: Co-Design Intervention (9 months)</w:t>
      </w:r>
      <w:r>
        <w:t xml:space="preserve"> </w:t>
      </w:r>
      <w:r>
        <w:t xml:space="preserve">– Development and pilot of a Wellington-specific Professional Resilience Toolkit with participating schools, measuring efficacy via pre/post surveys of teacher well-being (using the Teacher Wellbeing Scale) and student engagement metrics (NCEA pass rates, student voice surveys).</w:t>
      </w:r>
    </w:p>
    <w:p>
      <w:pPr>
        <w:pStyle w:val="FirstParagraph"/>
      </w:pPr>
      <w:r>
        <w:t xml:space="preserve">Analysis will employ thematic coding (Braun &amp; Clarke, 2006) for qualitative data and regression models for quantitative outcomes. Ethical approval will be sought through the Wellington College of Education Research Ethics Committee.</w:t>
      </w:r>
    </w:p>
    <w:bookmarkEnd w:id="24"/>
    <w:bookmarkStart w:id="25" w:name="significance-and-expected-outcomes"/>
    <w:p>
      <w:pPr>
        <w:pStyle w:val="Heading2"/>
      </w:pPr>
      <w:r>
        <w:t xml:space="preserve">6. Significance and Expected Outcomes</w:t>
      </w:r>
    </w:p>
    <w:p>
      <w:pPr>
        <w:pStyle w:val="FirstParagraph"/>
      </w:pPr>
      <w:r>
        <w:t xml:space="preserve">This Thesis Proposal delivers three key contributions to New Zealand Wellington’s educational ecosystem:</w:t>
      </w:r>
    </w:p>
    <w:p>
      <w:pPr>
        <w:numPr>
          <w:ilvl w:val="0"/>
          <w:numId w:val="1003"/>
        </w:numPr>
        <w:pStyle w:val="Compact"/>
      </w:pPr>
      <w:r>
        <w:rPr>
          <w:bCs/>
          <w:b/>
        </w:rPr>
        <w:t xml:space="preserve">Policy Impact:</w:t>
      </w:r>
      <w:r>
        <w:t xml:space="preserve"> </w:t>
      </w:r>
      <w:r>
        <w:t xml:space="preserve">Evidence-based recommendations for the Wellington Region Ministry of Education Office on redesigning teacher support structures that align with local needs, potentially influencing future iterations of the Teaching Council’s Professional Standards.</w:t>
      </w:r>
    </w:p>
    <w:p>
      <w:pPr>
        <w:numPr>
          <w:ilvl w:val="0"/>
          <w:numId w:val="1003"/>
        </w:numPr>
        <w:pStyle w:val="Compact"/>
      </w:pPr>
      <w:r>
        <w:rPr>
          <w:bCs/>
          <w:b/>
        </w:rPr>
        <w:t xml:space="preserve">Practice Innovation:</w:t>
      </w:r>
      <w:r>
        <w:t xml:space="preserve"> </w:t>
      </w:r>
      <w:r>
        <w:t xml:space="preserve">A replicable framework for Wellington schools to build Teacher Secondary-led PLCs focused on equity—addressing gaps like culturally safe assessment design in subjects such as Social Studies (a critical area where Wellington Māori students underperform by 12% nationally).</w:t>
      </w:r>
    </w:p>
    <w:p>
      <w:pPr>
        <w:numPr>
          <w:ilvl w:val="0"/>
          <w:numId w:val="1003"/>
        </w:numPr>
        <w:pStyle w:val="Compact"/>
      </w:pPr>
      <w:r>
        <w:rPr>
          <w:bCs/>
          <w:b/>
        </w:rPr>
        <w:t xml:space="preserve">Community Empowerment:</w:t>
      </w:r>
      <w:r>
        <w:t xml:space="preserve"> </w:t>
      </w:r>
      <w:r>
        <w:t xml:space="preserve">Directly involving</w:t>
      </w:r>
      <w:r>
        <w:t xml:space="preserve"> </w:t>
      </w:r>
      <w:r>
        <w:rPr>
          <w:iCs/>
          <w:i/>
        </w:rPr>
        <w:t xml:space="preserve">Teacher Secondary</w:t>
      </w:r>
      <w:r>
        <w:t xml:space="preserve"> </w:t>
      </w:r>
      <w:r>
        <w:t xml:space="preserve">as knowledge co-creators ensures solutions are practitioner-owned, increasing adoption likelihood. Expected outcomes include a published Toolkit for Wellington schools, an advocacy brief to the Wellington City Council on education-funding equity, and 3 peer-reviewed articles in journals like</w:t>
      </w:r>
      <w:r>
        <w:t xml:space="preserve"> </w:t>
      </w:r>
      <w:r>
        <w:rPr>
          <w:iCs/>
          <w:i/>
        </w:rPr>
        <w:t xml:space="preserve">New Zealand Journal of Educational Studies</w:t>
      </w:r>
      <w:r>
        <w:t xml:space="preserve">.</w:t>
      </w:r>
    </w:p>
    <w:p>
      <w:pPr>
        <w:pStyle w:val="FirstParagraph"/>
      </w:pPr>
      <w:r>
        <w:t xml:space="preserve">Ultimately, this research positions</w:t>
      </w:r>
      <w:r>
        <w:t xml:space="preserve"> </w:t>
      </w:r>
      <w:r>
        <w:rPr>
          <w:iCs/>
          <w:i/>
        </w:rPr>
        <w:t xml:space="preserve">Teacher Secondary</w:t>
      </w:r>
      <w:r>
        <w:t xml:space="preserve"> </w:t>
      </w:r>
      <w:r>
        <w:t xml:space="preserve">not merely as implementers of policy but as central agents in co-creating an equitable Wellington education system where student success is defined through Te Tiriti o Waitangi principles.</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4-9</w:t>
            </w:r>
          </w:p>
        </w:tc>
        <w:tc>
          <w:tcPr/>
          <w:p>
            <w:pPr>
              <w:pStyle w:val="Compact"/>
              <w:jc w:val="left"/>
            </w:pPr>
            <w:r>
              <w:t xml:space="preserve">Months 10-18</w:t>
            </w:r>
          </w:p>
        </w:tc>
      </w:tr>
      <w:tr>
        <w:tc>
          <w:tcPr/>
          <w:p>
            <w:pPr>
              <w:pStyle w:val="Compact"/>
              <w:jc w:val="left"/>
            </w:pPr>
            <w:r>
              <w:t xml:space="preserve">Milestones</w:t>
            </w:r>
          </w:p>
        </w:tc>
        <w:tc>
          <w:tcPr/>
          <w:p>
            <w:pPr>
              <w:pStyle w:val="Compact"/>
              <w:jc w:val="left"/>
            </w:pPr>
            <w:r>
              <w:t xml:space="preserve">Stakeholder mapping; Ethics approval</w:t>
            </w:r>
          </w:p>
        </w:tc>
        <w:tc>
          <w:tcPr/>
          <w:p>
            <w:pPr>
              <w:pStyle w:val="Compact"/>
              <w:jc w:val="left"/>
            </w:pPr>
            <w:r>
              <w:t xml:space="preserve">Data collection; Initial thematic analysis</w:t>
            </w:r>
          </w:p>
        </w:tc>
        <w:tc>
          <w:tcPr/>
          <w:p>
            <w:pPr>
              <w:pStyle w:val="Compact"/>
              <w:jc w:val="left"/>
            </w:pPr>
            <w:r>
              <w:t xml:space="preserve">Toolkit development; Pilot implementation; Drafting thesis chapters</w:t>
            </w:r>
          </w:p>
        </w:tc>
      </w:tr>
      <w:tr>
        <w:tc>
          <w:tcPr/>
          <w:p>
            <w:pPr>
              <w:pStyle w:val="Compact"/>
              <w:jc w:val="left"/>
            </w:pPr>
            <w:r>
              <w:t xml:space="preserve">Resource Needs</w:t>
            </w:r>
          </w:p>
        </w:tc>
        <w:tc>
          <w:tcPr>
            <w:gridSpan w:val="3"/>
          </w:tcPr>
          <w:p>
            <w:pPr>
              <w:pStyle w:val="Compact"/>
              <w:jc w:val="left"/>
            </w:pPr>
            <w:r>
              <w:t xml:space="preserve">Access to Wellington schools (secured via partnerships with WELT, WSPC); Research assistant for data transcription (NZ$15k); $8k travel budget for Wellington school visits</w:t>
            </w:r>
          </w:p>
        </w:tc>
      </w:tr>
    </w:tbl>
    <w:bookmarkEnd w:id="26"/>
    <w:bookmarkStart w:id="27" w:name="conclusion"/>
    <w:p>
      <w:pPr>
        <w:pStyle w:val="Heading2"/>
      </w:pPr>
      <w:r>
        <w:t xml:space="preserve">8. Conclusion</w:t>
      </w:r>
    </w:p>
    <w:p>
      <w:pPr>
        <w:pStyle w:val="FirstParagraph"/>
      </w:pPr>
      <w:r>
        <w:t xml:space="preserve">In the vibrant yet complex educational environment of New Zealand Wellington, the role of</w:t>
      </w:r>
      <w:r>
        <w:t xml:space="preserve"> </w:t>
      </w:r>
      <w:r>
        <w:rPr>
          <w:iCs/>
          <w:i/>
        </w:rPr>
        <w:t xml:space="preserve">Teacher Secondary</w:t>
      </w:r>
      <w:r>
        <w:t xml:space="preserve"> </w:t>
      </w:r>
      <w:r>
        <w:t xml:space="preserve">is pivotal to realizing Aotearoa’s vision for education as a catalyst for social justice. This Thesis Proposal transcends generic teacher support models by embedding research within Wellington’s socio-cultural and geographic reality, from the hills of Kāpiti Coast to the urban heartlands of Thorndon. By centering on</w:t>
      </w:r>
      <w:r>
        <w:t xml:space="preserve"> </w:t>
      </w:r>
      <w:r>
        <w:rPr>
          <w:iCs/>
          <w:i/>
        </w:rPr>
        <w:t xml:space="preserve">Teacher Secondary</w:t>
      </w:r>
      <w:r>
        <w:t xml:space="preserve"> </w:t>
      </w:r>
      <w:r>
        <w:t xml:space="preserve">as both subject and agent of change, this work promises not only to strengthen classroom practice but also to contribute a replicable model for other New Zealand regions grappling with similar equity challenges. The outcomes will directly inform Wellington’s strategic education priorities (e.g., the 2023 Wellington Regional Education Plan), ensuring that research remains firmly rooted in the communities it seeks to serve. In an era demanding responsive, locally grounded solutions, this Thesis Proposal stands as a necessary step toward sustaining resilient, effective</w:t>
      </w:r>
      <w:r>
        <w:t xml:space="preserve"> </w:t>
      </w:r>
      <w:r>
        <w:rPr>
          <w:iCs/>
          <w:i/>
        </w:rPr>
        <w:t xml:space="preserve">Teacher Secondary</w:t>
      </w:r>
      <w:r>
        <w:t xml:space="preserve"> </w:t>
      </w:r>
      <w:r>
        <w:t xml:space="preserve">who can unlock potential for every student in New Zealand Wellington.</w:t>
      </w:r>
    </w:p>
    <w:bookmarkEnd w:id="27"/>
    <w:bookmarkStart w:id="28" w:name="references-selected"/>
    <w:p>
      <w:pPr>
        <w:pStyle w:val="Heading2"/>
      </w:pPr>
      <w:r>
        <w:t xml:space="preserve">References (Selected)</w:t>
      </w:r>
    </w:p>
    <w:p>
      <w:pPr>
        <w:numPr>
          <w:ilvl w:val="0"/>
          <w:numId w:val="1004"/>
        </w:numPr>
        <w:pStyle w:val="Compact"/>
      </w:pPr>
      <w:r>
        <w:t xml:space="preserve">Bishop, R., et al. (2018). *Te Kotahitanga: A model of culturally responsive pedagogy*. NZCER Press.</w:t>
      </w:r>
    </w:p>
    <w:p>
      <w:pPr>
        <w:numPr>
          <w:ilvl w:val="0"/>
          <w:numId w:val="1004"/>
        </w:numPr>
        <w:pStyle w:val="Compact"/>
      </w:pPr>
      <w:r>
        <w:t xml:space="preserve">Ministry of Education (MoE). (2023). *Secondary Teacher Retention in Wellington Region*. Wellington: MoE.</w:t>
      </w:r>
    </w:p>
    <w:p>
      <w:pPr>
        <w:numPr>
          <w:ilvl w:val="0"/>
          <w:numId w:val="1004"/>
        </w:numPr>
        <w:pStyle w:val="Compact"/>
      </w:pPr>
      <w:r>
        <w:t xml:space="preserve">Davies, J. (2021). 'Burnout in Aotearoa Secondary Teachers: A National Analysis'.</w:t>
      </w:r>
      <w:r>
        <w:t xml:space="preserve"> </w:t>
      </w:r>
      <w:r>
        <w:rPr>
          <w:iCs/>
          <w:i/>
        </w:rPr>
        <w:t xml:space="preserve">Journal of Educational Leadership</w:t>
      </w:r>
      <w:r>
        <w:t xml:space="preserve">, 45(2), 78–95.</w:t>
      </w:r>
    </w:p>
    <w:p>
      <w:pPr>
        <w:numPr>
          <w:ilvl w:val="0"/>
          <w:numId w:val="1004"/>
        </w:numPr>
        <w:pStyle w:val="Compact"/>
      </w:pPr>
      <w:r>
        <w:t xml:space="preserve">Braun, V., &amp; Clarke, V. (2006). 'Using Thematic Analysis in Psychology'.</w:t>
      </w:r>
      <w:r>
        <w:t xml:space="preserve"> </w:t>
      </w:r>
      <w:r>
        <w:rPr>
          <w:iCs/>
          <w:i/>
        </w:rPr>
        <w:t xml:space="preserve">Qualitative Research in Psychology</w:t>
      </w:r>
      <w:r>
        <w:t xml:space="preserve">, 3(2), 77–101.</w:t>
      </w:r>
    </w:p>
    <w:p>
      <w:pPr>
        <w:pStyle w:val="FirstParagraph"/>
      </w:pPr>
      <w:r>
        <w:rPr>
          <w:bCs/>
          <w:b/>
        </w:rPr>
        <w:t xml:space="preserve">Word Count: 984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Teacher Secondary in New Zealand Wellington Context</dc:title>
  <dc:creator/>
  <dc:language>en</dc:language>
  <cp:keywords/>
  <dcterms:created xsi:type="dcterms:W3CDTF">2026-07-23T20:12:21Z</dcterms:created>
  <dcterms:modified xsi:type="dcterms:W3CDTF">2026-07-23T20:12:21Z</dcterms:modified>
</cp:coreProperties>
</file>

<file path=docProps/custom.xml><?xml version="1.0" encoding="utf-8"?>
<Properties xmlns="http://schemas.openxmlformats.org/officeDocument/2006/custom-properties" xmlns:vt="http://schemas.openxmlformats.org/officeDocument/2006/docPropsVTypes"/>
</file>