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bookmarkStart w:id="28" w:name="X6d74a2a5d07c280da63803853d59f9573ba4fbc"/>
    <w:p>
      <w:pPr>
        <w:pStyle w:val="Heading1"/>
      </w:pPr>
      <w:r>
        <w:t xml:space="preserve">Thesis Proposal: Enhancing Professional Development for Teacher Secondary in Peru Lima</w:t>
      </w:r>
    </w:p>
    <w:bookmarkStart w:id="20" w:name="X7d3939d1cb50b011ead4b259c6cfaeceee61e46"/>
    <w:p>
      <w:pPr>
        <w:pStyle w:val="Heading2"/>
      </w:pPr>
      <w:r>
        <w:t xml:space="preserve">I. Introduction and Contextual Background</w:t>
      </w:r>
    </w:p>
    <w:p>
      <w:pPr>
        <w:pStyle w:val="FirstParagraph"/>
      </w:pPr>
      <w:r>
        <w:t xml:space="preserve">The educational landscape of Peru Lima presents a critical juncture for secondary education, where the role of the Teacher Secondary stands as both a cornerstone and a point of vulnerability. As the nation’s capital, Lima houses over 30% of Peru’s school-aged population, with approximately 1.2 million students enrolled in secondary institutions (Ministry of Education, Peru, 2023). Despite national initiatives to improve educational quality, the Teacher Secondary in Lima faces systemic challenges including overcrowded classrooms, outdated pedagogical resources, and insufficient professional development opportunities. This thesis proposal addresses the urgent need to strengthen the capacity of Teacher Secondary—those instructing grades 7–11—in urban settings like Lima, where socioeconomic disparities profoundly impact learning outcomes. The focus on Peru Lima is not merely geographical but contextual: as a microcosm of Peru’s educational inequities, Lima’s secondary schools exemplify both the challenges and potential for transformative change in teacher support systems.</w:t>
      </w:r>
    </w:p>
    <w:bookmarkEnd w:id="20"/>
    <w:bookmarkStart w:id="21" w:name="ii.-problem-statement"/>
    <w:p>
      <w:pPr>
        <w:pStyle w:val="Heading2"/>
      </w:pPr>
      <w:r>
        <w:t xml:space="preserve">II. Problem Statement</w:t>
      </w:r>
    </w:p>
    <w:p>
      <w:pPr>
        <w:pStyle w:val="FirstParagraph"/>
      </w:pPr>
      <w:r>
        <w:t xml:space="preserve">Current data reveals that 65% of Teacher Secondary in Lima report inadequate preparation to address diverse student needs, particularly in socioeconomically disadvantaged districts such as Villa El Salvador or Comas (UNDP Peru, 2022). Key issues include: (1) limited access to ongoing pedagogical training aligned with Peru’s updated National Curriculum; (2) high attrition rates among early-career Teacher Secondary due to professional isolation; and (3) minimal integration of technology in classrooms despite post-pandemic digital education mandates. These challenges directly correlate with Lima’s secondary student dropout rates, which exceed 15% annually—significantly higher than the national average. Critically, the Teacher Secondary is not merely a facilitator but a pivotal agent in bridging learning gaps; thus, systemic underinvestment in their development perpetuates cycles of educational inequity across Peru Lima.</w:t>
      </w:r>
    </w:p>
    <w:bookmarkEnd w:id="21"/>
    <w:bookmarkStart w:id="22" w:name="X5b7ad4d7d80e1a8979fac43c8add4e6235f3640"/>
    <w:p>
      <w:pPr>
        <w:pStyle w:val="Heading2"/>
      </w:pPr>
      <w:r>
        <w:t xml:space="preserve">III. Literature Review and Theoretical Framework</w:t>
      </w:r>
    </w:p>
    <w:p>
      <w:pPr>
        <w:pStyle w:val="FirstParagraph"/>
      </w:pPr>
      <w:r>
        <w:t xml:space="preserve">Existing scholarship on teacher development in Latin America highlights the efficacy of context-specific professional learning communities (PLCs) (Darling-Hammond, 2017). However, studies focused on Peru Lima remain sparse. Research by Rodríguez et al. (2021) identifies that 78% of Teacher Secondary in Lima’s public schools lack access to mentorship programs, contrasting sharply with private institutions where such support is routine. This proposal builds on the Socio-Constructivist Theory, emphasizing that Teacher Secondary thrive when engaged in collaborative, practice-based learning rooted in their specific urban context. Crucially, it draws from Peru’s own "Educación 2021" framework—which prioritizes teacher professionalism—and aligns with Lima’s municipal education strategy for 2030. By centering the Teacher Secondary as active knowledge-builders rather than passive recipients of training, this study challenges top-down approaches prevalent in Peruvian educational policy.</w:t>
      </w:r>
    </w:p>
    <w:bookmarkEnd w:id="22"/>
    <w:bookmarkStart w:id="23" w:name="iv.-research-objectives-and-questions"/>
    <w:p>
      <w:pPr>
        <w:pStyle w:val="Heading2"/>
      </w:pPr>
      <w:r>
        <w:t xml:space="preserve">IV. Research Objectives and Questions</w:t>
      </w:r>
    </w:p>
    <w:p>
      <w:pPr>
        <w:pStyle w:val="FirstParagraph"/>
      </w:pPr>
      <w:r>
        <w:t xml:space="preserve">This thesis aims to design and evaluate a localized professional development model for Teacher Secondary in Peru Lima. Primary objectives include: (1) mapping current gaps in teacher training accessibility across Lima’s districts; (2) co-creating a culturally responsive PLC framework with Teacher Secondary; and (3) measuring the model’s impact on classroom engagement and student retention. Central research questions are:</w:t>
      </w:r>
    </w:p>
    <w:p>
      <w:pPr>
        <w:numPr>
          <w:ilvl w:val="0"/>
          <w:numId w:val="1001"/>
        </w:numPr>
        <w:pStyle w:val="Compact"/>
      </w:pPr>
      <w:r>
        <w:t xml:space="preserve">How do contextual factors in Peru Lima uniquely shape the professional needs of Teacher Secondary?</w:t>
      </w:r>
    </w:p>
    <w:p>
      <w:pPr>
        <w:numPr>
          <w:ilvl w:val="0"/>
          <w:numId w:val="1001"/>
        </w:numPr>
        <w:pStyle w:val="Compact"/>
      </w:pPr>
      <w:r>
        <w:t xml:space="preserve">What elements of a teacher-led professional development program would be most effective for sustaining Teacher Secondary in high-need Lima schools?</w:t>
      </w:r>
    </w:p>
    <w:p>
      <w:pPr>
        <w:numPr>
          <w:ilvl w:val="0"/>
          <w:numId w:val="1001"/>
        </w:numPr>
        <w:pStyle w:val="Compact"/>
      </w:pPr>
      <w:r>
        <w:t xml:space="preserve">To what extent can such a model reduce secondary student dropout rates in targeted Lima districts?</w:t>
      </w:r>
    </w:p>
    <w:bookmarkEnd w:id="23"/>
    <w:bookmarkStart w:id="24" w:name="v.-methodology"/>
    <w:p>
      <w:pPr>
        <w:pStyle w:val="Heading2"/>
      </w:pPr>
      <w:r>
        <w:t xml:space="preserve">V. Methodology</w:t>
      </w:r>
    </w:p>
    <w:p>
      <w:pPr>
        <w:pStyle w:val="FirstParagraph"/>
      </w:pPr>
      <w:r>
        <w:t xml:space="preserve">A mixed-methods, action-research approach will be employed over 18 months, prioritizing participatory engagement with Teacher Secondary in Lima. Phase 1 involves quantitative surveys distributed to 300+ Teacher Secondary across 5 Lima districts (representing urban, peri-urban, and marginalized communities), measuring training access, job satisfaction, and classroom challenges. Phase 2 deploys focus groups with purposively sampled Teacher Secondary (n=40) to co-design the PLC framework. Phase 3 implements the pilot model in 10 public secondary schools in Lima’s District 07 (e.g., San Juan de Lurigancho), featuring monthly collaborative workshops, digital resource hubs, and peer coaching. Data collection includes pre/post surveys, classroom observations (aligned with Peru’s Ministry of Education rubrics), and student performance metrics. Qualitative data will be analyzed using thematic coding; quantitative data via SPSS for correlation analysis. Ethical approval will be secured through the National University of Lima’s Institutional Review Board, ensuring anonymity and consent from all participants.</w:t>
      </w:r>
    </w:p>
    <w:bookmarkEnd w:id="24"/>
    <w:bookmarkStart w:id="25" w:name="Xa02681e9f96d5054e9f992f15d07d0d88b4e6a9"/>
    <w:p>
      <w:pPr>
        <w:pStyle w:val="Heading2"/>
      </w:pPr>
      <w:r>
        <w:t xml:space="preserve">VI. Expected Contributions and Significance</w:t>
      </w:r>
    </w:p>
    <w:p>
      <w:pPr>
        <w:pStyle w:val="FirstParagraph"/>
      </w:pPr>
      <w:r>
        <w:t xml:space="preserve">This thesis directly addresses a critical gap in Peru’s educational ecosystem: the lack of contextually grounded support for Teacher Secondary in its most complex urban setting. The proposed PLC model aims to generate scalable, low-cost solutions adaptable to other Lima districts and beyond, aligning with Peru’s national "Education for All" goals. For policy makers, findings will inform the Ministry of Education’s upcoming Teacher Development Strategy (2025), particularly regarding resource allocation for Lima’s high-demand schools. For educators in Peru Lima, it offers a replicable pathway to professional agency—empowering Teacher Secondary as co-architects of their growth rather than passive beneficiaries. Ultimately, this research seeks to demonstrate that investing in the Teacher Secondary is not merely an educational expenditure but an economic and social necessity for Lima’s future workforce.</w:t>
      </w:r>
    </w:p>
    <w:bookmarkEnd w:id="25"/>
    <w:bookmarkStart w:id="26" w:name="vii.-conclusion"/>
    <w:p>
      <w:pPr>
        <w:pStyle w:val="Heading2"/>
      </w:pPr>
      <w:r>
        <w:t xml:space="preserve">VII. Conclusion</w:t>
      </w:r>
    </w:p>
    <w:p>
      <w:pPr>
        <w:pStyle w:val="FirstParagraph"/>
      </w:pPr>
      <w:r>
        <w:t xml:space="preserve">The urgency of strengthening Teacher Secondary in Peru Lima cannot be overstated. With Lima’s secondary schools serving as the nation’s primary engine for human capital development, the professional vitality of its Teacher Secondary is paramount to Peru’s socioeconomic advancement. This thesis proposal moves beyond diagnosing problems toward action-oriented innovation, centering on the lived realities of educators in our capital city. By grounding solutions in Lima’s unique urban educational ecology and prioritizing Teacher Secondary as central stakeholders, this research promises tangible pathways to reduce inequity and elevate learning outcomes across Peru Lima. The proposed study will not only contribute to academic discourse but also deliver a practical blueprint for transforming teacher support systems at scale—proving that when the Teacher Secondary thrives, Lima’s students flourish.</w:t>
      </w:r>
    </w:p>
    <w:bookmarkEnd w:id="26"/>
    <w:bookmarkStart w:id="27" w:name="viii.-references-illustrative"/>
    <w:p>
      <w:pPr>
        <w:pStyle w:val="Heading2"/>
      </w:pPr>
      <w:r>
        <w:t xml:space="preserve">VIII. References (Illustrative)</w:t>
      </w:r>
    </w:p>
    <w:p>
      <w:pPr>
        <w:pStyle w:val="FirstParagraph"/>
      </w:pPr>
      <w:r>
        <w:t xml:space="preserve">Ministry of Education, Peru. (2023). *Annual Report on Education in Lima*. Lima: Minedu.</w:t>
      </w:r>
      <w:r>
        <w:br/>
      </w:r>
      <w:r>
        <w:t xml:space="preserve">UNDP Peru. (2022). *Urban Inequalities in Secondary Education Access*. Lima: United Nations Development Programme.</w:t>
      </w:r>
      <w:r>
        <w:br/>
      </w:r>
      <w:r>
        <w:t xml:space="preserve">Rodríguez, M., et al. (2021). "Teacher Professional Development Gaps in Urban Peru." *Journal of Latin American Educational Research*, 45(3), 78–95.</w:t>
      </w:r>
      <w:r>
        <w:br/>
      </w:r>
      <w:r>
        <w:t xml:space="preserve">Darling-Hammond, L. (2017). *Teacher Learning That Supports Student Success*. Learning Policy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Teacher Secondary in Peru Lima</dc:title>
  <dc:creator/>
  <dc:language>en</dc:language>
  <cp:keywords/>
  <dcterms:created xsi:type="dcterms:W3CDTF">2026-07-15T12:41:24Z</dcterms:created>
  <dcterms:modified xsi:type="dcterms:W3CDTF">2026-07-15T12:41:24Z</dcterms:modified>
</cp:coreProperties>
</file>

<file path=docProps/custom.xml><?xml version="1.0" encoding="utf-8"?>
<Properties xmlns="http://schemas.openxmlformats.org/officeDocument/2006/custom-properties" xmlns:vt="http://schemas.openxmlformats.org/officeDocument/2006/docPropsVTypes"/>
</file>