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Secondary</w:t>
      </w:r>
      <w:r>
        <w:t xml:space="preserve"> </w:t>
      </w:r>
      <w:r>
        <w:t xml:space="preserve">Mathematics</w:t>
      </w:r>
      <w:r>
        <w:t xml:space="preserve"> </w:t>
      </w:r>
      <w:r>
        <w:t xml:space="preserve">Education</w:t>
      </w:r>
      <w:r>
        <w:t xml:space="preserve"> </w:t>
      </w:r>
      <w:r>
        <w:t xml:space="preserve">in</w:t>
      </w:r>
      <w:r>
        <w:t xml:space="preserve"> </w:t>
      </w:r>
      <w:r>
        <w:t xml:space="preserve">Qatar</w:t>
      </w:r>
      <w:r>
        <w:t xml:space="preserve"> </w:t>
      </w:r>
      <w:r>
        <w:t xml:space="preserve">Doha</w:t>
      </w:r>
    </w:p>
    <w:bookmarkStart w:id="20" w:name="Xb503bd5fe23c3c84dd881106f85445938295e8b"/>
    <w:p>
      <w:pPr>
        <w:pStyle w:val="Heading1"/>
      </w:pPr>
      <w:r>
        <w:t xml:space="preserve">Thesis Proposal: Enhancing Student Engagement Through Culturally Responsive Pedagogy in Secondary Mathematics Education</w:t>
      </w:r>
    </w:p>
    <w:p>
      <w:pPr>
        <w:pStyle w:val="FirstParagraph"/>
      </w:pPr>
      <w:r>
        <w:t xml:space="preserve">Submitted to the College of Education, Qatar University, Doha</w:t>
      </w:r>
    </w:p>
    <w:bookmarkEnd w:id="20"/>
    <w:bookmarkStart w:id="21" w:name="i.-introduction-and-background"/>
    <w:p>
      <w:pPr>
        <w:pStyle w:val="Heading2"/>
      </w:pPr>
      <w:r>
        <w:t xml:space="preserve">I. Introduction and Background</w:t>
      </w:r>
    </w:p>
    <w:p>
      <w:pPr>
        <w:pStyle w:val="FirstParagraph"/>
      </w:pPr>
      <w:r>
        <w:t xml:space="preserve">The educational landscape in</w:t>
      </w:r>
      <w:r>
        <w:t xml:space="preserve"> </w:t>
      </w:r>
      <w:r>
        <w:t xml:space="preserve">Qatar Doha</w:t>
      </w:r>
      <w:r>
        <w:t xml:space="preserve"> </w:t>
      </w:r>
      <w:r>
        <w:t xml:space="preserve">has undergone remarkable transformation under the National Vision 2030 framework, with secondary education serving as a critical pillar for human capital development. As a dedicated</w:t>
      </w:r>
      <w:r>
        <w:t xml:space="preserve"> </w:t>
      </w:r>
      <w:r>
        <w:t xml:space="preserve">Teacher Secondary</w:t>
      </w:r>
      <w:r>
        <w:t xml:space="preserve"> </w:t>
      </w:r>
      <w:r>
        <w:t xml:space="preserve">in the Qatari public school system, I have observed persistent challenges in student engagement within mathematics classrooms across</w:t>
      </w:r>
      <w:r>
        <w:t xml:space="preserve"> </w:t>
      </w:r>
      <w:r>
        <w:t xml:space="preserve">Qatar Doha</w:t>
      </w:r>
      <w:r>
        <w:t xml:space="preserve">. Traditional pedagogical approaches often fail to resonate with diverse student populations, leading to declining performance and disengagement. This</w:t>
      </w:r>
      <w:r>
        <w:t xml:space="preserve"> </w:t>
      </w:r>
      <w:r>
        <w:t xml:space="preserve">Thesis Proposal</w:t>
      </w:r>
      <w:r>
        <w:t xml:space="preserve"> </w:t>
      </w:r>
      <w:r>
        <w:t xml:space="preserve">addresses this urgent need by investigating culturally responsive teaching strategies tailored for secondary mathematics educators in</w:t>
      </w:r>
      <w:r>
        <w:t xml:space="preserve"> </w:t>
      </w:r>
      <w:r>
        <w:t xml:space="preserve">Qatar Doha</w:t>
      </w:r>
      <w:r>
        <w:t xml:space="preserve">.</w:t>
      </w:r>
    </w:p>
    <w:bookmarkEnd w:id="21"/>
    <w:bookmarkStart w:id="22" w:name="ii.-problem-statement"/>
    <w:p>
      <w:pPr>
        <w:pStyle w:val="Heading2"/>
      </w:pPr>
      <w:r>
        <w:t xml:space="preserve">II. Problem Statement</w:t>
      </w:r>
    </w:p>
    <w:p>
      <w:pPr>
        <w:pStyle w:val="FirstParagraph"/>
      </w:pPr>
      <w:r>
        <w:t xml:space="preserve">Despite significant investments in educational infrastructure, Qatar's Ministry of Education reports that only 58% of secondary students demonstrate proficiency in mathematics (MOE, 2023). Crucially, this gap widens among culturally diverse student cohorts common in</w:t>
      </w:r>
      <w:r>
        <w:t xml:space="preserve"> </w:t>
      </w:r>
      <w:r>
        <w:t xml:space="preserve">Qatar Doha</w:t>
      </w:r>
      <w:r>
        <w:t xml:space="preserve">, where expatriate communities constitute over 85% of the population. Current teacher training programs emphasize standardized curricula but neglect contextualized pedagogical adaptations essential for</w:t>
      </w:r>
      <w:r>
        <w:t xml:space="preserve"> </w:t>
      </w:r>
      <w:r>
        <w:t xml:space="preserve">Teacher Secondary</w:t>
      </w:r>
      <w:r>
        <w:t xml:space="preserve"> </w:t>
      </w:r>
      <w:r>
        <w:t xml:space="preserve">effectiveness in our multicultural environment. This disconnect between prescribed methods and classroom realities necessitates urgent research to empower educators in</w:t>
      </w:r>
      <w:r>
        <w:t xml:space="preserve"> </w:t>
      </w:r>
      <w:r>
        <w:t xml:space="preserve">Qatar Doha</w:t>
      </w:r>
      <w:r>
        <w:t xml:space="preserve">.</w:t>
      </w:r>
    </w:p>
    <w:bookmarkEnd w:id="22"/>
    <w:bookmarkStart w:id="23" w:name="iii.-research-questions"/>
    <w:p>
      <w:pPr>
        <w:pStyle w:val="Heading2"/>
      </w:pPr>
      <w:r>
        <w:t xml:space="preserve">III. Research Questions</w:t>
      </w:r>
    </w:p>
    <w:p>
      <w:pPr>
        <w:numPr>
          <w:ilvl w:val="0"/>
          <w:numId w:val="1001"/>
        </w:numPr>
        <w:pStyle w:val="Compact"/>
      </w:pPr>
      <w:r>
        <w:t xml:space="preserve">To what extent do culturally responsive teaching strategies impact engagement levels among secondary mathematics students in diverse classrooms across Doha?</w:t>
      </w:r>
    </w:p>
    <w:p>
      <w:pPr>
        <w:numPr>
          <w:ilvl w:val="0"/>
          <w:numId w:val="1001"/>
        </w:numPr>
        <w:pStyle w:val="Compact"/>
      </w:pPr>
      <w:r>
        <w:t xml:space="preserve">What specific pedagogical modifications do effective Teacher Secondary practitioners implement to bridge cultural and linguistic gaps in mathematics instruction?</w:t>
      </w:r>
    </w:p>
    <w:p>
      <w:pPr>
        <w:numPr>
          <w:ilvl w:val="0"/>
          <w:numId w:val="1001"/>
        </w:numPr>
        <w:pStyle w:val="Compact"/>
      </w:pPr>
      <w:r>
        <w:t xml:space="preserve">How can professional development frameworks be redesigned to support</w:t>
      </w:r>
      <w:r>
        <w:t xml:space="preserve"> </w:t>
      </w:r>
      <w:r>
        <w:t xml:space="preserve">Teacher Secondary</w:t>
      </w:r>
      <w:r>
        <w:t xml:space="preserve"> </w:t>
      </w:r>
      <w:r>
        <w:t xml:space="preserve">capacity building within Qatar's educational context?</w:t>
      </w:r>
    </w:p>
    <w:bookmarkEnd w:id="23"/>
    <w:bookmarkStart w:id="24" w:name="iv.-literature-review-key-themes"/>
    <w:p>
      <w:pPr>
        <w:pStyle w:val="Heading2"/>
      </w:pPr>
      <w:r>
        <w:t xml:space="preserve">IV. Literature Review (Key Themes)</w:t>
      </w:r>
    </w:p>
    <w:p>
      <w:pPr>
        <w:pStyle w:val="FirstParagraph"/>
      </w:pPr>
      <w:r>
        <w:t xml:space="preserve">Existing scholarship on secondary education in Gulf contexts reveals critical gaps. While research by Al-Mahrooqi (2021) identifies language barriers as primary engagement obstacles, it overlooks Qatar's unique demographic fabric. Similarly, studies by UNESCO (2020) on STEM education emphasize infrastructure over teacher agency—contrary to the needs observed in</w:t>
      </w:r>
      <w:r>
        <w:t xml:space="preserve"> </w:t>
      </w:r>
      <w:r>
        <w:t xml:space="preserve">Qatar Doha</w:t>
      </w:r>
      <w:r>
        <w:t xml:space="preserve"> </w:t>
      </w:r>
      <w:r>
        <w:t xml:space="preserve">classrooms. This research bridges that gap by centering on the</w:t>
      </w:r>
      <w:r>
        <w:t xml:space="preserve"> </w:t>
      </w:r>
      <w:r>
        <w:t xml:space="preserve">Teacher Secondary</w:t>
      </w:r>
      <w:r>
        <w:t xml:space="preserve"> </w:t>
      </w:r>
      <w:r>
        <w:t xml:space="preserve">as the primary change agent. Recent work by Al-Hamad (2022) on culturally sustaining pedagogy in Arab schools offers partial relevance but lacks Qatari empirical grounding, making this study uniquely positioned to contribute to regional educational discourse.</w:t>
      </w:r>
    </w:p>
    <w:bookmarkEnd w:id="24"/>
    <w:bookmarkStart w:id="25" w:name="v.-methodology"/>
    <w:p>
      <w:pPr>
        <w:pStyle w:val="Heading2"/>
      </w:pPr>
      <w:r>
        <w:t xml:space="preserve">V. Methodology</w:t>
      </w:r>
    </w:p>
    <w:p>
      <w:pPr>
        <w:pStyle w:val="FirstParagraph"/>
      </w:pPr>
      <w:r>
        <w:t xml:space="preserve">This mixed-methods study will employ a sequential explanatory design across two phases:</w:t>
      </w:r>
    </w:p>
    <w:p>
      <w:pPr>
        <w:numPr>
          <w:ilvl w:val="0"/>
          <w:numId w:val="1002"/>
        </w:numPr>
        <w:pStyle w:val="Compact"/>
      </w:pPr>
      <w:r>
        <w:rPr>
          <w:bCs/>
          <w:b/>
        </w:rPr>
        <w:t xml:space="preserve">Quantitative Phase:</w:t>
      </w:r>
      <w:r>
        <w:t xml:space="preserve"> </w:t>
      </w:r>
      <w:r>
        <w:t xml:space="preserve">Survey of 300 secondary mathematics teachers across 15 schools in Doha, measuring engagement metrics (using adapted MSLQ scales) before/after implementation of targeted strategies.</w:t>
      </w:r>
    </w:p>
    <w:p>
      <w:pPr>
        <w:numPr>
          <w:ilvl w:val="0"/>
          <w:numId w:val="1002"/>
        </w:numPr>
        <w:pStyle w:val="Compact"/>
      </w:pPr>
      <w:r>
        <w:rPr>
          <w:bCs/>
          <w:b/>
        </w:rPr>
        <w:t xml:space="preserve">Qualitative Phase:</w:t>
      </w:r>
      <w:r>
        <w:t xml:space="preserve"> </w:t>
      </w:r>
      <w:r>
        <w:t xml:space="preserve">In-depth case studies with 15 exemplary</w:t>
      </w:r>
      <w:r>
        <w:t xml:space="preserve"> </w:t>
      </w:r>
      <w:r>
        <w:t xml:space="preserve">Teacher Secondary</w:t>
      </w:r>
      <w:r>
        <w:t xml:space="preserve"> </w:t>
      </w:r>
      <w:r>
        <w:t xml:space="preserve">educators, including classroom observations and focus groups exploring strategy adaptation processes within Qatar's cultural context.</w:t>
      </w:r>
    </w:p>
    <w:p>
      <w:pPr>
        <w:pStyle w:val="FirstParagraph"/>
      </w:pPr>
      <w:r>
        <w:t xml:space="preserve">Data collection will align with Qatar's National Education Strategy (2023-2027), ensuring institutional relevance. Ethical approvals from Qatar University Research Ethics Board will be secured prior to fieldwork, prioritizing student privacy per MOE guidelines.</w:t>
      </w:r>
    </w:p>
    <w:bookmarkEnd w:id="25"/>
    <w:bookmarkStart w:id="26" w:name="vi.-significance-of-the-study"/>
    <w:p>
      <w:pPr>
        <w:pStyle w:val="Heading2"/>
      </w:pPr>
      <w:r>
        <w:t xml:space="preserve">VI. Significance of the Study</w:t>
      </w:r>
    </w:p>
    <w:p>
      <w:pPr>
        <w:pStyle w:val="FirstParagraph"/>
      </w:pPr>
      <w:r>
        <w:t xml:space="preserve">This research holds transformative potential for</w:t>
      </w:r>
      <w:r>
        <w:t xml:space="preserve"> </w:t>
      </w:r>
      <w:r>
        <w:t xml:space="preserve">Qatar Doha</w:t>
      </w:r>
      <w:r>
        <w:t xml:space="preserve">'s educational ecosystem. For classroom practitioners, it will yield a practical toolkit of adaptable strategies—such as integrating Qatari cultural examples into algebra problems or leveraging Arabic-English bilingual scaffolding techniques—that directly address observed challenges. Crucially, it elevates the</w:t>
      </w:r>
      <w:r>
        <w:t xml:space="preserve"> </w:t>
      </w:r>
      <w:r>
        <w:t xml:space="preserve">Teacher Secondary</w:t>
      </w:r>
      <w:r>
        <w:t xml:space="preserve"> </w:t>
      </w:r>
      <w:r>
        <w:t xml:space="preserve">from curriculum implementer to pedagogical innovator within Qatar's vision. At systemic level, findings will inform the Ministry of Education's teacher development initiatives and contribute to global scholarship on culturally responsive teaching in multicultural Muslim-majority contexts.</w:t>
      </w:r>
    </w:p>
    <w:bookmarkEnd w:id="26"/>
    <w:bookmarkStart w:id="27" w:name="vii.-expected-outcomes-and-contributions"/>
    <w:p>
      <w:pPr>
        <w:pStyle w:val="Heading2"/>
      </w:pPr>
      <w:r>
        <w:t xml:space="preserve">VII. Expected Outcomes and Contributions</w:t>
      </w:r>
    </w:p>
    <w:p>
      <w:pPr>
        <w:pStyle w:val="FirstParagraph"/>
      </w:pPr>
      <w:r>
        <w:t xml:space="preserve">We anticipate three concrete contributions:</w:t>
      </w:r>
    </w:p>
    <w:p>
      <w:pPr>
        <w:numPr>
          <w:ilvl w:val="0"/>
          <w:numId w:val="1003"/>
        </w:numPr>
        <w:pStyle w:val="Compact"/>
      </w:pPr>
      <w:r>
        <w:t xml:space="preserve">A validated framework for "Culturally Responsive Mathematics Pedagogy" (CRMP) specifically contextualized for Qatar's secondary schools, featuring classroom-tested lesson templates and assessment rubrics.</w:t>
      </w:r>
    </w:p>
    <w:p>
      <w:pPr>
        <w:numPr>
          <w:ilvl w:val="0"/>
          <w:numId w:val="1003"/>
        </w:numPr>
        <w:pStyle w:val="Compact"/>
      </w:pPr>
      <w:r>
        <w:t xml:space="preserve">Policy recommendations for the MOE to revise teacher certification standards to include cultural competence metrics in</w:t>
      </w:r>
      <w:r>
        <w:t xml:space="preserve"> </w:t>
      </w:r>
      <w:r>
        <w:t xml:space="preserve">Qatar Doha</w:t>
      </w:r>
      <w:r>
        <w:t xml:space="preserve">.</w:t>
      </w:r>
    </w:p>
    <w:p>
      <w:pPr>
        <w:numPr>
          <w:ilvl w:val="0"/>
          <w:numId w:val="1003"/>
        </w:numPr>
        <w:pStyle w:val="Compact"/>
      </w:pPr>
      <w:r>
        <w:t xml:space="preserve">A professional development model designed through participatory action research with actual</w:t>
      </w:r>
      <w:r>
        <w:t xml:space="preserve"> </w:t>
      </w:r>
      <w:r>
        <w:t xml:space="preserve">Teacher Secondary</w:t>
      </w:r>
      <w:r>
        <w:t xml:space="preserve"> </w:t>
      </w:r>
      <w:r>
        <w:t xml:space="preserve">stakeholders, ensuring sustainable adoption.</w:t>
      </w:r>
    </w:p>
    <w:p>
      <w:pPr>
        <w:pStyle w:val="FirstParagraph"/>
      </w:pPr>
      <w:r>
        <w:t xml:space="preserve">These outcomes directly support Qatar's commitment to "Qatariization" of education while maintaining international academic excellence—a dual priority emphasized in the National Education Strategy 2023-2027. The project will culminate in a publicly accessible resource hub for</w:t>
      </w:r>
      <w:r>
        <w:t xml:space="preserve"> </w:t>
      </w:r>
      <w:r>
        <w:t xml:space="preserve">Teacher Secondary</w:t>
      </w:r>
      <w:r>
        <w:t xml:space="preserve"> </w:t>
      </w:r>
      <w:r>
        <w:t xml:space="preserve">across</w:t>
      </w:r>
      <w:r>
        <w:t xml:space="preserve"> </w:t>
      </w:r>
      <w:r>
        <w:t xml:space="preserve">Qatar Doha</w:t>
      </w:r>
      <w:r>
        <w:t xml:space="preserve">, hosted on the MOE's e-learning platform.</w:t>
      </w:r>
    </w:p>
    <w:bookmarkEnd w:id="27"/>
    <w:bookmarkStart w:id="28"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1-4</w:t>
            </w:r>
          </w:p>
        </w:tc>
        <w:tc>
          <w:tcPr/>
          <w:p>
            <w:pPr>
              <w:pStyle w:val="Compact"/>
              <w:jc w:val="left"/>
            </w:pPr>
            <w:r>
              <w:t xml:space="preserve">Finalized research instruments; MOE ethics approval</w:t>
            </w:r>
          </w:p>
        </w:tc>
      </w:tr>
      <w:tr>
        <w:tc>
          <w:tcPr/>
          <w:p>
            <w:pPr>
              <w:pStyle w:val="Compact"/>
              <w:jc w:val="left"/>
            </w:pPr>
            <w:r>
              <w:t xml:space="preserve">Quantitative Data Collection &amp; Analysis</w:t>
            </w:r>
          </w:p>
        </w:tc>
        <w:tc>
          <w:tcPr/>
          <w:p>
            <w:pPr>
              <w:pStyle w:val="Compact"/>
              <w:jc w:val="left"/>
            </w:pPr>
            <w:r>
              <w:t xml:space="preserve">5-10</w:t>
            </w:r>
          </w:p>
        </w:tc>
        <w:tc>
          <w:tcPr/>
          <w:p>
            <w:pPr>
              <w:pStyle w:val="Compact"/>
              <w:jc w:val="left"/>
            </w:pPr>
            <w:r>
              <w:t xml:space="preserve">Data collection from 300 teachers; initial engagement metrics report</w:t>
            </w:r>
          </w:p>
        </w:tc>
      </w:tr>
      <w:tr>
        <w:tc>
          <w:tcPr/>
          <w:p>
            <w:pPr>
              <w:pStyle w:val="Compact"/>
              <w:jc w:val="left"/>
            </w:pPr>
            <w:r>
              <w:t xml:space="preserve">Qualitative Case Studies &amp; Strategy Development</w:t>
            </w:r>
          </w:p>
        </w:tc>
        <w:tc>
          <w:tcPr/>
          <w:p>
            <w:pPr>
              <w:pStyle w:val="Compact"/>
              <w:jc w:val="left"/>
            </w:pPr>
            <w:r>
              <w:t xml:space="preserve">11-14</w:t>
            </w:r>
          </w:p>
        </w:tc>
        <w:tc>
          <w:tcPr/>
          <w:p>
            <w:pPr>
              <w:pStyle w:val="Compact"/>
              <w:jc w:val="left"/>
            </w:pPr>
            <w:r>
              <w:t xml:space="preserve">Culturally Responsive Pedagogy Framework; 5 teacher case studies</w:t>
            </w:r>
          </w:p>
        </w:tc>
      </w:tr>
      <w:tr>
        <w:tc>
          <w:tcPr/>
          <w:p>
            <w:pPr>
              <w:pStyle w:val="Compact"/>
              <w:jc w:val="left"/>
            </w:pPr>
            <w:r>
              <w:t xml:space="preserve">Dissemination &amp; Policy Integration</w:t>
            </w:r>
          </w:p>
        </w:tc>
        <w:tc>
          <w:tcPr/>
          <w:p>
            <w:pPr>
              <w:pStyle w:val="Compact"/>
              <w:jc w:val="left"/>
            </w:pPr>
            <w:r>
              <w:t xml:space="preserve">15-18</w:t>
            </w:r>
          </w:p>
        </w:tc>
        <w:tc>
          <w:tcPr/>
          <w:p>
            <w:pPr>
              <w:pStyle w:val="Compact"/>
              <w:jc w:val="left"/>
            </w:pPr>
            <w:r>
              <w:t xml:space="preserve">Final thesis; MOE policy brief; digital resource hub launch in Doha schools</w:t>
            </w:r>
          </w:p>
        </w:tc>
      </w:tr>
    </w:tbl>
    <w:bookmarkEnd w:id="28"/>
    <w:bookmarkStart w:id="29" w:name="ix.-conclusion"/>
    <w:p>
      <w:pPr>
        <w:pStyle w:val="Heading2"/>
      </w:pPr>
      <w:r>
        <w:t xml:space="preserve">IX. Conclusion</w:t>
      </w:r>
    </w:p>
    <w:p>
      <w:pPr>
        <w:pStyle w:val="FirstParagraph"/>
      </w:pPr>
      <w:r>
        <w:t xml:space="preserve">This</w:t>
      </w:r>
      <w:r>
        <w:t xml:space="preserve"> </w:t>
      </w:r>
      <w:r>
        <w:t xml:space="preserve">Thesis Proposal</w:t>
      </w:r>
      <w:r>
        <w:t xml:space="preserve"> </w:t>
      </w:r>
      <w:r>
        <w:t xml:space="preserve">responds to a critical need at the intersection of teacher agency, cultural context, and educational quality in</w:t>
      </w:r>
      <w:r>
        <w:t xml:space="preserve"> </w:t>
      </w:r>
      <w:r>
        <w:t xml:space="preserve">Qatar Doha</w:t>
      </w:r>
      <w:r>
        <w:t xml:space="preserve">. As secondary mathematics education becomes increasingly pivotal for Qatar's knowledge economy transition, empowering the</w:t>
      </w:r>
      <w:r>
        <w:t xml:space="preserve"> </w:t>
      </w:r>
      <w:r>
        <w:t xml:space="preserve">Teacher Secondary</w:t>
      </w:r>
      <w:r>
        <w:t xml:space="preserve"> </w:t>
      </w:r>
      <w:r>
        <w:t xml:space="preserve">with culturally grounded pedagogical tools is no longer optional—it is an imperative for national development. The research methodology ensures academic rigor while maintaining practical applicability for immediate classroom implementation across Doha's diverse secondary schools. By centering Qatari educators as experts in their own context, this study promises not only to enhance student outcomes but to affirm the invaluable role of the</w:t>
      </w:r>
      <w:r>
        <w:t xml:space="preserve"> </w:t>
      </w:r>
      <w:r>
        <w:t xml:space="preserve">Teacher Secondary</w:t>
      </w:r>
      <w:r>
        <w:t xml:space="preserve"> </w:t>
      </w:r>
      <w:r>
        <w:t xml:space="preserve">within Qatar's educational sovereignty journey.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Secondary Mathematics Education in Qatar Doha</dc:title>
  <dc:creator/>
  <dc:language>en</dc:language>
  <cp:keywords/>
  <dcterms:created xsi:type="dcterms:W3CDTF">2026-07-17T03:20:12Z</dcterms:created>
  <dcterms:modified xsi:type="dcterms:W3CDTF">2026-07-17T03:20:12Z</dcterms:modified>
</cp:coreProperties>
</file>

<file path=docProps/custom.xml><?xml version="1.0" encoding="utf-8"?>
<Properties xmlns="http://schemas.openxmlformats.org/officeDocument/2006/custom-properties" xmlns:vt="http://schemas.openxmlformats.org/officeDocument/2006/docPropsVTypes"/>
</file>