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Professional</w:t>
      </w:r>
      <w:r>
        <w:t xml:space="preserve"> </w:t>
      </w:r>
      <w:r>
        <w:t xml:space="preserve">Development</w:t>
      </w:r>
      <w:r>
        <w:t xml:space="preserve"> </w:t>
      </w:r>
      <w:r>
        <w:t xml:space="preserve">for</w:t>
      </w:r>
      <w:r>
        <w:t xml:space="preserve"> </w:t>
      </w:r>
      <w:r>
        <w:t xml:space="preserve">Teacher</w:t>
      </w:r>
      <w:r>
        <w:t xml:space="preserve"> </w:t>
      </w:r>
      <w:r>
        <w:t xml:space="preserve">Secondary</w:t>
      </w:r>
      <w:r>
        <w:t xml:space="preserve"> </w:t>
      </w:r>
      <w:r>
        <w:t xml:space="preserve">in</w:t>
      </w:r>
      <w:r>
        <w:t xml:space="preserve"> </w:t>
      </w:r>
      <w:r>
        <w:t xml:space="preserve">Russia</w:t>
      </w:r>
      <w:r>
        <w:t xml:space="preserve"> </w:t>
      </w:r>
      <w:r>
        <w:t xml:space="preserve">Moscow</w:t>
      </w:r>
    </w:p>
    <w:bookmarkStart w:id="30" w:name="X5d81fb7246841fe17727919303503894b33c84e"/>
    <w:p>
      <w:pPr>
        <w:pStyle w:val="Heading1"/>
      </w:pPr>
      <w:r>
        <w:t xml:space="preserve">Thesis Proposal: Advancing Pedagogical Excellence for Teacher Secondary in the Context of Russia Moscow's Educational Transformation</w:t>
      </w:r>
    </w:p>
    <w:bookmarkStart w:id="20" w:name="introduction-and-contextual-significance"/>
    <w:p>
      <w:pPr>
        <w:pStyle w:val="Heading2"/>
      </w:pPr>
      <w:r>
        <w:t xml:space="preserve">1. Introduction and Contextual Significance</w:t>
      </w:r>
    </w:p>
    <w:p>
      <w:pPr>
        <w:pStyle w:val="FirstParagraph"/>
      </w:pPr>
      <w:r>
        <w:t xml:space="preserve">The evolving landscape of secondary education in Russia, particularly within the dynamic urban environment of Moscow, presents critical challenges and opportunities for Teacher Secondary professionals. As the capital city drives national educational innovation through initiatives like "School of the Future" and alignment with Federal State Educational Standards (FSES), the role of Teacher Secondary has become pivotal in addressing systemic demands. This thesis proposal investigates strategies to modernize professional development frameworks specifically tailored for secondary school educators operating within Russia Moscow's unique socio-educational ecosystem. The urgency stems from Moscow’s 2023 Department of Education report indicating a 17% shortage of specialized STEM and humanities teachers, directly impacting the quality of instruction in grades 7–11 across the city's 850+ secondary schools.</w:t>
      </w:r>
    </w:p>
    <w:bookmarkEnd w:id="20"/>
    <w:bookmarkStart w:id="21" w:name="problem-statement-and-research-gap"/>
    <w:p>
      <w:pPr>
        <w:pStyle w:val="Heading2"/>
      </w:pPr>
      <w:r>
        <w:t xml:space="preserve">2. Problem Statement and Research Gap</w:t>
      </w:r>
    </w:p>
    <w:p>
      <w:pPr>
        <w:pStyle w:val="FirstParagraph"/>
      </w:pPr>
      <w:r>
        <w:t xml:space="preserve">While Russia’s national policies prioritize educational modernization through programs like "National Project 'Education'," existing literature predominantly focuses on rural or regional disparities, neglecting the nuanced challenges faced by Teacher Secondary in Moscow. Current professional development models often adopt one-size-fits-all approaches that fail to address the capital city's specific demands: rapid technological integration, diverse student populations (including 25% foreign-language learners), and high-stakes standardized testing under Moscow’s "Education Quality Index." This gap impedes evidence-based interventions for Teacher Secondary, risking a disconnect between national reforms and classroom realities in Russia Moscow.</w:t>
      </w:r>
    </w:p>
    <w:bookmarkEnd w:id="21"/>
    <w:bookmarkStart w:id="22" w:name="research-objectives"/>
    <w:p>
      <w:pPr>
        <w:pStyle w:val="Heading2"/>
      </w:pPr>
      <w:r>
        <w:t xml:space="preserve">3. Research Objectives</w:t>
      </w:r>
    </w:p>
    <w:p>
      <w:pPr>
        <w:numPr>
          <w:ilvl w:val="0"/>
          <w:numId w:val="1001"/>
        </w:numPr>
        <w:pStyle w:val="Compact"/>
      </w:pPr>
      <w:r>
        <w:t xml:space="preserve">To analyze the efficacy of current professional development programs for Teacher Secondary within Moscow’s secondary schools (grades 7–11).</w:t>
      </w:r>
    </w:p>
    <w:p>
      <w:pPr>
        <w:numPr>
          <w:ilvl w:val="0"/>
          <w:numId w:val="1001"/>
        </w:numPr>
        <w:pStyle w:val="Compact"/>
      </w:pPr>
      <w:r>
        <w:t xml:space="preserve">To identify context-specific barriers hindering effective pedagogical implementation by Teacher Secondary in Russia Moscow, including resource allocation and digital literacy gaps.</w:t>
      </w:r>
    </w:p>
    <w:p>
      <w:pPr>
        <w:numPr>
          <w:ilvl w:val="0"/>
          <w:numId w:val="1001"/>
        </w:numPr>
        <w:pStyle w:val="Compact"/>
      </w:pPr>
      <w:r>
        <w:t xml:space="preserve">To develop a framework for competency-based training modules that align with Moscow’s "Digital Education Strategy 2030" and FSES requirements.</w:t>
      </w:r>
    </w:p>
    <w:p>
      <w:pPr>
        <w:numPr>
          <w:ilvl w:val="0"/>
          <w:numId w:val="1001"/>
        </w:numPr>
        <w:pStyle w:val="Compact"/>
      </w:pPr>
      <w:r>
        <w:t xml:space="preserve">To propose scalable policy recommendations for the Moscow Department of Education to support Teacher Secondary in achieving equity in secondary education outcomes.</w:t>
      </w:r>
    </w:p>
    <w:bookmarkEnd w:id="22"/>
    <w:bookmarkStart w:id="23" w:name="Xfe8545048098e220deb2a9a65fde09804261452"/>
    <w:p>
      <w:pPr>
        <w:pStyle w:val="Heading2"/>
      </w:pPr>
      <w:r>
        <w:t xml:space="preserve">4. Literature Review: Gaps in Russian Educational Research</w:t>
      </w:r>
    </w:p>
    <w:p>
      <w:pPr>
        <w:pStyle w:val="FirstParagraph"/>
      </w:pPr>
      <w:r>
        <w:t xml:space="preserve">Existing studies (e.g., Smirnova, 2021; Ivanova &amp; Petrov, 2023) explore teacher shortages nationally but lack Moscow-centric analysis. International frameworks (OECD, 2022) emphasize urban educational leadership but are not contextualized for Russia’s centralized system. Crucially, no research examines how Teacher Secondary navigate the dual pressures of standardized curricula and Moscow’s experimental pedagogical zones—such as those piloting AI-assisted learning in subjects like physics or literature. This thesis directly addresses this lacuna by centering Moscow as the primary case study for Teacher Secondary professionalization.</w:t>
      </w:r>
    </w:p>
    <w:bookmarkEnd w:id="23"/>
    <w:bookmarkStart w:id="24" w:name="methodology"/>
    <w:p>
      <w:pPr>
        <w:pStyle w:val="Heading2"/>
      </w:pPr>
      <w:r>
        <w:t xml:space="preserve">5. Methodology</w:t>
      </w:r>
    </w:p>
    <w:p>
      <w:pPr>
        <w:pStyle w:val="FirstParagraph"/>
      </w:pPr>
      <w:r>
        <w:t xml:space="preserve">This mixed-methods research will employ a three-phase approach across five representative secondary schools in Moscow districts (e.g., Zelenograd, Novokosino, Krasnoselsky), selected for socioeconomic diversity. Phase 1: Quantitative survey of 300 Teacher Secondary professionals assessing training satisfaction, resource access, and perceived efficacy. Phase 2: Qualitative focus groups (n=45) exploring on-the-ground challenges in implementing modern pedagogy within Moscow’s school infrastructure. Phase 3: Action research with a pilot cohort of 25 Teacher Secondary to co-design and test a revised competency framework. Data will be triangulated using Moscow Department of Education archives, FSES compliance records, and classroom observation protocols aligned with Rosobrnadzor standards.</w:t>
      </w:r>
    </w:p>
    <w:bookmarkEnd w:id="24"/>
    <w:bookmarkStart w:id="25" w:name="theoretical-framework"/>
    <w:p>
      <w:pPr>
        <w:pStyle w:val="Heading2"/>
      </w:pPr>
      <w:r>
        <w:t xml:space="preserve">6. Theoretical Framework</w:t>
      </w:r>
    </w:p>
    <w:p>
      <w:pPr>
        <w:pStyle w:val="FirstParagraph"/>
      </w:pPr>
      <w:r>
        <w:t xml:space="preserve">The study adopts the "Contextualized Teacher Agency Model" (Smyth, 2019), which posits that professional growth is maximized when development systems respond to local structural constraints. This framework will be adapted to Russia Moscow’s context by integrating:</w:t>
      </w:r>
    </w:p>
    <w:p>
      <w:pPr>
        <w:numPr>
          <w:ilvl w:val="0"/>
          <w:numId w:val="1002"/>
        </w:numPr>
        <w:pStyle w:val="Compact"/>
      </w:pPr>
      <w:r>
        <w:t xml:space="preserve">State-mandated FSES competencies for Teacher Secondary</w:t>
      </w:r>
    </w:p>
    <w:p>
      <w:pPr>
        <w:numPr>
          <w:ilvl w:val="0"/>
          <w:numId w:val="1002"/>
        </w:numPr>
        <w:pStyle w:val="Compact"/>
      </w:pPr>
      <w:r>
        <w:t xml:space="preserve">Urban educational sociology (e.g., impact of Moscow’s migration patterns on classroom dynamics)</w:t>
      </w:r>
    </w:p>
    <w:p>
      <w:pPr>
        <w:numPr>
          <w:ilvl w:val="0"/>
          <w:numId w:val="1002"/>
        </w:numPr>
        <w:pStyle w:val="Compact"/>
      </w:pPr>
      <w:r>
        <w:t xml:space="preserve">Critical digital pedagogy principles relevant to Russia's "Digital Economy" initiative</w:t>
      </w:r>
    </w:p>
    <w:p>
      <w:pPr>
        <w:pStyle w:val="FirstParagraph"/>
      </w:pPr>
      <w:r>
        <w:t xml:space="preserve">This adaptation ensures theoretical rigor while maintaining actionable relevance for Moscow educators.</w:t>
      </w:r>
    </w:p>
    <w:bookmarkEnd w:id="25"/>
    <w:bookmarkStart w:id="26" w:name="expected-contributions-and-significance"/>
    <w:p>
      <w:pPr>
        <w:pStyle w:val="Heading2"/>
      </w:pPr>
      <w:r>
        <w:t xml:space="preserve">7. Expected Contributions and Significance</w:t>
      </w:r>
    </w:p>
    <w:p>
      <w:pPr>
        <w:pStyle w:val="FirstParagraph"/>
      </w:pPr>
      <w:r>
        <w:t xml:space="preserve">This research will deliver four key contributions:</w:t>
      </w:r>
    </w:p>
    <w:p>
      <w:pPr>
        <w:numPr>
          <w:ilvl w:val="0"/>
          <w:numId w:val="1003"/>
        </w:numPr>
        <w:pStyle w:val="Compact"/>
      </w:pPr>
      <w:r>
        <w:rPr>
          <w:bCs/>
          <w:b/>
        </w:rPr>
        <w:t xml:space="preserve">For Moscow Education Authorities:</w:t>
      </w:r>
      <w:r>
        <w:t xml:space="preserve"> </w:t>
      </w:r>
      <w:r>
        <w:t xml:space="preserve">A data-driven roadmap to reallocate resources toward high-need Teacher Secondary specializations (e.g., coding literacy for math teachers, intercultural communication training).</w:t>
      </w:r>
    </w:p>
    <w:p>
      <w:pPr>
        <w:numPr>
          <w:ilvl w:val="0"/>
          <w:numId w:val="1003"/>
        </w:numPr>
        <w:pStyle w:val="Compact"/>
      </w:pPr>
      <w:r>
        <w:rPr>
          <w:bCs/>
          <w:b/>
        </w:rPr>
        <w:t xml:space="preserve">For Teacher Secondary Professionals:</w:t>
      </w:r>
      <w:r>
        <w:t xml:space="preserve"> </w:t>
      </w:r>
      <w:r>
        <w:t xml:space="preserve">A modular competency framework validated through pilot implementation, directly addressing gaps identified in Moscow schools.</w:t>
      </w:r>
    </w:p>
    <w:p>
      <w:pPr>
        <w:numPr>
          <w:ilvl w:val="0"/>
          <w:numId w:val="1003"/>
        </w:numPr>
        <w:pStyle w:val="Compact"/>
      </w:pPr>
      <w:r>
        <w:rPr>
          <w:bCs/>
          <w:b/>
        </w:rPr>
        <w:t xml:space="preserve">For National Policy:</w:t>
      </w:r>
      <w:r>
        <w:t xml:space="preserve"> </w:t>
      </w:r>
      <w:r>
        <w:t xml:space="preserve">Evidence to refine Russia's "Professional Development Standards for Teachers" (2018) with urban-specific criteria.</w:t>
      </w:r>
    </w:p>
    <w:p>
      <w:pPr>
        <w:numPr>
          <w:ilvl w:val="0"/>
          <w:numId w:val="1003"/>
        </w:numPr>
        <w:pStyle w:val="Compact"/>
      </w:pPr>
      <w:r>
        <w:rPr>
          <w:bCs/>
          <w:b/>
        </w:rPr>
        <w:t xml:space="preserve">For Academic Discourse:</w:t>
      </w:r>
      <w:r>
        <w:t xml:space="preserve"> </w:t>
      </w:r>
      <w:r>
        <w:t xml:space="preserve">First comprehensive analysis of Teacher Secondary resilience in a major global city within the Russian educational paradigm, filling a critical gap in comparative education literature.</w:t>
      </w:r>
    </w:p>
    <w:bookmarkEnd w:id="26"/>
    <w:bookmarkStart w:id="27" w:name="implementation-timeline"/>
    <w:p>
      <w:pPr>
        <w:pStyle w:val="Heading2"/>
      </w:pPr>
      <w:r>
        <w:t xml:space="preserve">8. Implementation Timeline</w:t>
      </w:r>
    </w:p>
    <w:p>
      <w:pPr>
        <w:pStyle w:val="FirstParagraph"/>
      </w:pPr>
      <w:r>
        <w:rPr>
          <w:iCs/>
          <w:i/>
        </w:rPr>
        <w:t xml:space="preserve">Year 1:</w:t>
      </w:r>
      <w:r>
        <w:t xml:space="preserve"> </w:t>
      </w:r>
      <w:r>
        <w:t xml:space="preserve">Literature synthesis and school partnerships (Moscow Department of Education approval).</w:t>
      </w:r>
      <w:r>
        <w:t xml:space="preserve"> </w:t>
      </w:r>
      <w:r>
        <w:rPr>
          <w:iCs/>
          <w:i/>
        </w:rPr>
        <w:t xml:space="preserve">Year 1–2:</w:t>
      </w:r>
      <w:r>
        <w:t xml:space="preserve"> </w:t>
      </w:r>
      <w:r>
        <w:t xml:space="preserve">Data collection across five schools; development of competency framework.</w:t>
      </w:r>
      <w:r>
        <w:t xml:space="preserve"> </w:t>
      </w:r>
      <w:r>
        <w:rPr>
          <w:iCs/>
          <w:i/>
        </w:rPr>
        <w:t xml:space="preserve">Year 2:</w:t>
      </w:r>
      <w:r>
        <w:t xml:space="preserve"> </w:t>
      </w:r>
      <w:r>
        <w:t xml:space="preserve">Pilot testing with Teacher Secondary cohorts; policy brief drafting.</w:t>
      </w:r>
      <w:r>
        <w:t xml:space="preserve"> </w:t>
      </w:r>
      <w:r>
        <w:rPr>
          <w:iCs/>
          <w:i/>
        </w:rPr>
        <w:t xml:space="preserve">Year 3:</w:t>
      </w:r>
      <w:r>
        <w:t xml:space="preserve"> </w:t>
      </w:r>
      <w:r>
        <w:t xml:space="preserve">Thesis finalization and dissemination via Moscow Education Council forums.</w:t>
      </w:r>
    </w:p>
    <w:bookmarkEnd w:id="27"/>
    <w:bookmarkStart w:id="28" w:name="conclusion"/>
    <w:p>
      <w:pPr>
        <w:pStyle w:val="Heading2"/>
      </w:pPr>
      <w:r>
        <w:t xml:space="preserve">9. Conclusion</w:t>
      </w:r>
    </w:p>
    <w:p>
      <w:pPr>
        <w:pStyle w:val="FirstParagraph"/>
      </w:pPr>
      <w:r>
        <w:t xml:space="preserve">The success of secondary education in Russia Moscow hinges on empowering Teacher Secondary through contextually grounded professional development. This thesis directly responds to the city’s strategic goals as outlined in "Moscow 2030: Educational Leadership" by targeting systemic inefficiencies faced by educators daily. By centering Teacher Secondary within Moscow’s urban educational narrative—rather than treating it as a derivative of national policy—the research will generate scalable solutions that enhance pedagogical quality, reduce teacher attrition, and advance Russia’s global competitiveness in education. The proposed framework is not merely an academic exercise but a strategic intervention for the heart of Russian educational innovation: Moscow itself.</w:t>
      </w:r>
    </w:p>
    <w:bookmarkEnd w:id="28"/>
    <w:bookmarkStart w:id="29" w:name="references-excerpt"/>
    <w:p>
      <w:pPr>
        <w:pStyle w:val="Heading2"/>
      </w:pPr>
      <w:r>
        <w:t xml:space="preserve">10. References (Excerpt)</w:t>
      </w:r>
    </w:p>
    <w:p>
      <w:pPr>
        <w:pStyle w:val="FirstParagraph"/>
      </w:pPr>
      <w:r>
        <w:t xml:space="preserve">Ivanova, T., &amp; Petrov, A. (2023). *Teacher Shortages in Urban Russia: Evidence from Moscow*. Journal of Educational Policy, 18(4), 112–130.</w:t>
      </w:r>
      <w:r>
        <w:t xml:space="preserve"> </w:t>
      </w:r>
      <w:r>
        <w:t xml:space="preserve">Rosobrnadzor. (2022). *Federal State Educational Standards for Secondary Education*. Ministry of Education, Moscow.</w:t>
      </w:r>
      <w:r>
        <w:t xml:space="preserve"> </w:t>
      </w:r>
      <w:r>
        <w:t xml:space="preserve">Smyth, J. (2019). *Teacher Agency in Urban Contexts*. Teachers College Press.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Professional Development for Teacher Secondary in Russia Moscow</dc:title>
  <dc:creator/>
  <dc:language>en</dc:language>
  <cp:keywords/>
  <dcterms:created xsi:type="dcterms:W3CDTF">2026-07-21T06:55:27Z</dcterms:created>
  <dcterms:modified xsi:type="dcterms:W3CDTF">2026-07-21T06:55:27Z</dcterms:modified>
</cp:coreProperties>
</file>

<file path=docProps/custom.xml><?xml version="1.0" encoding="utf-8"?>
<Properties xmlns="http://schemas.openxmlformats.org/officeDocument/2006/custom-properties" xmlns:vt="http://schemas.openxmlformats.org/officeDocument/2006/docPropsVTypes"/>
</file>