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Effectiveness</w:t>
      </w:r>
      <w:r>
        <w:t xml:space="preserve"> </w:t>
      </w:r>
      <w:r>
        <w:t xml:space="preserve">in</w:t>
      </w:r>
      <w:r>
        <w:t xml:space="preserve"> </w:t>
      </w:r>
      <w:r>
        <w:t xml:space="preserve">Singapore</w:t>
      </w:r>
      <w:r>
        <w:t xml:space="preserve"> </w:t>
      </w:r>
      <w:r>
        <w:t xml:space="preserve">Education</w:t>
      </w:r>
      <w:r>
        <w:t xml:space="preserve"> </w:t>
      </w:r>
      <w:r>
        <w:t xml:space="preserve">System</w:t>
      </w:r>
    </w:p>
    <w:bookmarkStart w:id="29" w:name="X8273f24df939864e1e7419e12c03dd544b3b7d5"/>
    <w:p>
      <w:pPr>
        <w:pStyle w:val="Heading1"/>
      </w:pPr>
      <w:r>
        <w:t xml:space="preserve">Thesis Proposal: Optimizing Pedagogical Strategies for Teacher Secondary Development in Singapore's Educational Landscape</w:t>
      </w:r>
    </w:p>
    <w:bookmarkStart w:id="20" w:name="introduction-and-context"/>
    <w:p>
      <w:pPr>
        <w:pStyle w:val="Heading2"/>
      </w:pPr>
      <w:r>
        <w:t xml:space="preserve">1. Introduction and Context</w:t>
      </w:r>
    </w:p>
    <w:p>
      <w:pPr>
        <w:pStyle w:val="FirstParagraph"/>
      </w:pPr>
      <w:r>
        <w:t xml:space="preserve">The evolving educational demands of the 21st century necessitate a strategic re-examination of teacher development frameworks within Singapore's secondary education sector. As a global leader in academic excellence, Singapore faces unique challenges in maintaining its competitive edge while fostering holistic student growth amidst rapid societal transformation. This Thesis Proposal addresses the critical need to elevate</w:t>
      </w:r>
      <w:r>
        <w:t xml:space="preserve"> </w:t>
      </w:r>
      <w:r>
        <w:rPr>
          <w:bCs/>
          <w:b/>
        </w:rPr>
        <w:t xml:space="preserve">Teacher Secondary</w:t>
      </w:r>
      <w:r>
        <w:t xml:space="preserve"> </w:t>
      </w:r>
      <w:r>
        <w:t xml:space="preserve">capabilities through evidence-based pedagogical innovation specifically tailored for the</w:t>
      </w:r>
      <w:r>
        <w:t xml:space="preserve"> </w:t>
      </w:r>
      <w:r>
        <w:rPr>
          <w:iCs/>
          <w:i/>
        </w:rPr>
        <w:t xml:space="preserve">Singapore Singapore</w:t>
      </w:r>
      <w:r>
        <w:t xml:space="preserve"> </w:t>
      </w:r>
      <w:r>
        <w:t xml:space="preserve">context. With the Ministry of Education's (MOE) recent emphasis on "Teach Less, Learn More" and holistic development, this research responds directly to national priorities by investigating how secondary school educators can be empowered to navigate complex learning environments while upholding Singapore's educational excellence standards.</w:t>
      </w:r>
    </w:p>
    <w:bookmarkEnd w:id="20"/>
    <w:bookmarkStart w:id="21" w:name="problem-statement"/>
    <w:p>
      <w:pPr>
        <w:pStyle w:val="Heading2"/>
      </w:pPr>
      <w:r>
        <w:t xml:space="preserve">2. Problem Statement</w:t>
      </w:r>
    </w:p>
    <w:p>
      <w:pPr>
        <w:pStyle w:val="FirstParagraph"/>
      </w:pPr>
      <w:r>
        <w:t xml:space="preserve">Despite Singapore's consistent top rankings in international assessments, emerging data reveals growing disengagement among secondary students (MOE Annual Report, 2023) and increasing cognitive load on educators managing diverse classrooms. Current professional development models for Teacher Secondary often remain transactional rather than transformative, failing to address contextual nuances of Singapore's multicultural classrooms (Lee &amp; Tan, 2022). Crucially, the existing research gap centers on how pedagogical strategies can be systematically adapted to Singapore's unique socio-educational ecosystem where bilingualism, academic pressure cycles (e.g., PSLE/Sec 3 exams), and values education intersect. This Thesis Proposal contends that without context-specific Teacher Secondary development, Singapore risks undermining its educational sustainability goals.</w:t>
      </w:r>
    </w:p>
    <w:bookmarkEnd w:id="21"/>
    <w:bookmarkStart w:id="22" w:name="research-objectives"/>
    <w:p>
      <w:pPr>
        <w:pStyle w:val="Heading2"/>
      </w:pPr>
      <w:r>
        <w:t xml:space="preserve">3. Research Objectives</w:t>
      </w:r>
    </w:p>
    <w:p>
      <w:pPr>
        <w:numPr>
          <w:ilvl w:val="0"/>
          <w:numId w:val="1001"/>
        </w:numPr>
        <w:pStyle w:val="Compact"/>
      </w:pPr>
      <w:r>
        <w:t xml:space="preserve">To analyze the alignment between current Teacher Secondary training frameworks and the evolving pedagogical demands of Singapore's secondary schools (Grades 7-10).</w:t>
      </w:r>
    </w:p>
    <w:p>
      <w:pPr>
        <w:numPr>
          <w:ilvl w:val="0"/>
          <w:numId w:val="1001"/>
        </w:numPr>
        <w:pStyle w:val="Compact"/>
      </w:pPr>
      <w:r>
        <w:t xml:space="preserve">To identify culturally responsive teaching strategies that effectively address cognitive, socio-emotional, and multilingual needs within Singapore's secondary classrooms.</w:t>
      </w:r>
    </w:p>
    <w:p>
      <w:pPr>
        <w:numPr>
          <w:ilvl w:val="0"/>
          <w:numId w:val="1001"/>
        </w:numPr>
        <w:pStyle w:val="Compact"/>
      </w:pPr>
      <w:r>
        <w:t xml:space="preserve">To co-design a sustainable Teacher Secondary development model integrating MOE's "Student-Centered Learning" initiatives with localized assessment innovations.</w:t>
      </w:r>
    </w:p>
    <w:p>
      <w:pPr>
        <w:numPr>
          <w:ilvl w:val="0"/>
          <w:numId w:val="1001"/>
        </w:numPr>
        <w:pStyle w:val="Compact"/>
      </w:pPr>
      <w:r>
        <w:t xml:space="preserve">To evaluate the impact of proposed strategies on student engagement metrics (attendance, participation) and academic resilience in Singaporean context.</w:t>
      </w:r>
    </w:p>
    <w:bookmarkEnd w:id="22"/>
    <w:bookmarkStart w:id="23" w:name="X371689a1b67e0f9440da1235d2a4f68194d659e"/>
    <w:p>
      <w:pPr>
        <w:pStyle w:val="Heading2"/>
      </w:pPr>
      <w:r>
        <w:t xml:space="preserve">4. Literature Review: Contextualizing the Singapore Singapore Framework</w:t>
      </w:r>
    </w:p>
    <w:p>
      <w:pPr>
        <w:pStyle w:val="FirstParagraph"/>
      </w:pPr>
      <w:r>
        <w:t xml:space="preserve">Existing literature on Teacher Secondary effectiveness predominantly draws from Western models (Darling-Hammond, 2017), which inadequately capture Singapore's distinctive "education as national strategy" paradigm. Recent studies by the National Institute of Education (NIE) highlight that while Singaporean teachers excel in subject mastery, there is a marked gap in facilitating higher-order thinking skills beyond examination-driven pedagogy (Chua &amp; Goh, 2021). This Thesis Proposal bridges this gap by anchoring its theoretical framework in Singapore's "Thinking Schools, Learning Nation" vision and leveraging local research such as the MOE's "Teaching for Thinking" program. Crucially, we position</w:t>
      </w:r>
      <w:r>
        <w:t xml:space="preserve"> </w:t>
      </w:r>
      <w:r>
        <w:rPr>
          <w:iCs/>
          <w:i/>
        </w:rPr>
        <w:t xml:space="preserve">Singapore Singapore</w:t>
      </w:r>
      <w:r>
        <w:t xml:space="preserve"> </w:t>
      </w:r>
      <w:r>
        <w:t xml:space="preserve">not merely as a geographical location but as an integrated educational ecosystem where policy (e.g., 2023 Curriculum Redesign), cultural values (e.g., "Family and Community" ethos), and classroom practice converge.</w:t>
      </w:r>
    </w:p>
    <w:bookmarkEnd w:id="23"/>
    <w:bookmarkStart w:id="24" w:name="Xb8113814c3ac4d21d8119d5bee4a5b9f0a5e354"/>
    <w:p>
      <w:pPr>
        <w:pStyle w:val="Heading2"/>
      </w:pPr>
      <w:r>
        <w:t xml:space="preserve">5. Methodology: Mixed-Methods Approach for Singapore Context</w:t>
      </w:r>
    </w:p>
    <w:p>
      <w:pPr>
        <w:pStyle w:val="FirstParagraph"/>
      </w:pPr>
      <w:r>
        <w:t xml:space="preserve">This action-research thesis employs a 18-month multi-phase methodology designed specifically for Teacher Secondary in Singapore:</w:t>
      </w:r>
    </w:p>
    <w:p>
      <w:pPr>
        <w:numPr>
          <w:ilvl w:val="0"/>
          <w:numId w:val="1002"/>
        </w:numPr>
        <w:pStyle w:val="Compact"/>
      </w:pPr>
      <w:r>
        <w:rPr>
          <w:bCs/>
          <w:b/>
        </w:rPr>
        <w:t xml:space="preserve">Phase 1 (Months 1-4):</w:t>
      </w:r>
      <w:r>
        <w:t xml:space="preserve"> </w:t>
      </w:r>
      <w:r>
        <w:t xml:space="preserve">Quantitative survey of 300 Teacher Secondary across 50 Singapore secondary schools using MOE's Teacher Competency Framework, measuring self-efficacy in areas like differentiation and technology integration.</w:t>
      </w:r>
    </w:p>
    <w:p>
      <w:pPr>
        <w:numPr>
          <w:ilvl w:val="0"/>
          <w:numId w:val="1002"/>
        </w:numPr>
        <w:pStyle w:val="Compact"/>
      </w:pPr>
      <w:r>
        <w:rPr>
          <w:bCs/>
          <w:b/>
        </w:rPr>
        <w:t xml:space="preserve">Phase 2 (Months 5-9):</w:t>
      </w:r>
      <w:r>
        <w:t xml:space="preserve"> </w:t>
      </w:r>
      <w:r>
        <w:t xml:space="preserve">Qualitative case studies in 10 schools (including both mainstream and Integrated Programme schools) using focus groups with Teacher Secondary and student diaries tracking engagement shifts.</w:t>
      </w:r>
    </w:p>
    <w:p>
      <w:pPr>
        <w:numPr>
          <w:ilvl w:val="0"/>
          <w:numId w:val="1002"/>
        </w:numPr>
        <w:pStyle w:val="Compact"/>
      </w:pPr>
      <w:r>
        <w:rPr>
          <w:bCs/>
          <w:b/>
        </w:rPr>
        <w:t xml:space="preserve">Phase 3 (Months 10-14):</w:t>
      </w:r>
      <w:r>
        <w:t xml:space="preserve"> </w:t>
      </w:r>
      <w:r>
        <w:t xml:space="preserve">Co-design workshops with MOE curriculum officers, Teacher Secondary, and students to develop the proposed model ("Singapore-Specific Pedagogical Adaptation Framework" - SSPAF).</w:t>
      </w:r>
    </w:p>
    <w:p>
      <w:pPr>
        <w:numPr>
          <w:ilvl w:val="0"/>
          <w:numId w:val="1002"/>
        </w:numPr>
        <w:pStyle w:val="Compact"/>
      </w:pPr>
      <w:r>
        <w:rPr>
          <w:bCs/>
          <w:b/>
        </w:rPr>
        <w:t xml:space="preserve">Phase 4 (Months 15-18):</w:t>
      </w:r>
      <w:r>
        <w:t xml:space="preserve"> </w:t>
      </w:r>
      <w:r>
        <w:t xml:space="preserve">Pilot implementation of SSPAF in 3 schools with comparative analysis against control groups using MOE's standardized student well-being indices.</w:t>
      </w:r>
    </w:p>
    <w:p>
      <w:pPr>
        <w:pStyle w:val="FirstParagraph"/>
      </w:pPr>
      <w:r>
        <w:t xml:space="preserve">The methodology adheres strictly to Singapore's research ethics protocols and leverages MOE-approved data collection channels, ensuring cultural appropriateness and policy relevance for Teacher Secondary development in</w:t>
      </w:r>
      <w:r>
        <w:t xml:space="preserve"> </w:t>
      </w:r>
      <w:r>
        <w:rPr>
          <w:iCs/>
          <w:i/>
        </w:rPr>
        <w:t xml:space="preserve">Singapore Singapore</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Singapore's education sector:</w:t>
      </w:r>
    </w:p>
    <w:p>
      <w:pPr>
        <w:numPr>
          <w:ilvl w:val="0"/>
          <w:numId w:val="1003"/>
        </w:numPr>
        <w:pStyle w:val="Compact"/>
      </w:pPr>
      <w:r>
        <w:t xml:space="preserve">A validated Teacher Secondary competency model aligned with MOE's 2030 Education Vision, directly addressing the national need to shift from rote learning to creative problem-solving.</w:t>
      </w:r>
    </w:p>
    <w:p>
      <w:pPr>
        <w:numPr>
          <w:ilvl w:val="0"/>
          <w:numId w:val="1003"/>
        </w:numPr>
        <w:pStyle w:val="Compact"/>
      </w:pPr>
      <w:r>
        <w:t xml:space="preserve">A replicable SSPAF toolkit featuring context-specific strategies: e.g., "Bilingual Metacognition Framework" for English-Mandarin classrooms and "Examination Cycle Resilience Modules" for secondary students.</w:t>
      </w:r>
    </w:p>
    <w:p>
      <w:pPr>
        <w:numPr>
          <w:ilvl w:val="0"/>
          <w:numId w:val="1003"/>
        </w:numPr>
        <w:pStyle w:val="Compact"/>
      </w:pPr>
      <w:r>
        <w:t xml:space="preserve">Evidence demonstrating how Teacher Secondary development directly correlates with improved student outcomes in Singapore's unique high-stakes environment (e.g., reduced exam anxiety, 20% higher collaborative project participation).</w:t>
      </w:r>
    </w:p>
    <w:p>
      <w:pPr>
        <w:pStyle w:val="FirstParagraph"/>
      </w:pPr>
      <w:r>
        <w:t xml:space="preserve">The significance extends beyond academia: This research directly supports MOE's "School-University Partnerships" initiative and provides actionable pathways for Teacher Secondary to thrive within Singapore's system. By centering</w:t>
      </w:r>
      <w:r>
        <w:t xml:space="preserve"> </w:t>
      </w:r>
      <w:r>
        <w:rPr>
          <w:iCs/>
          <w:i/>
        </w:rPr>
        <w:t xml:space="preserve">Singapore Singapore</w:t>
      </w:r>
      <w:r>
        <w:t xml:space="preserve"> </w:t>
      </w:r>
      <w:r>
        <w:t xml:space="preserve">as the primary research context—not merely a case study—the Thesis Proposal ensures findings possess immediate, scalable policy relevance.</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 for Teacher Secondary Development</w:t>
            </w:r>
          </w:p>
        </w:tc>
      </w:tr>
      <w:tr>
        <w:tc>
          <w:tcPr/>
          <w:p>
            <w:pPr>
              <w:pStyle w:val="Compact"/>
              <w:jc w:val="left"/>
            </w:pPr>
            <w:r>
              <w:t xml:space="preserve">Month 1-3</w:t>
            </w:r>
          </w:p>
        </w:tc>
        <w:tc>
          <w:tcPr/>
          <w:p>
            <w:pPr>
              <w:pStyle w:val="Compact"/>
              <w:jc w:val="left"/>
            </w:pPr>
            <w:r>
              <w:t xml:space="preserve">Literature synthesis, MOE stakeholder engagement</w:t>
            </w:r>
          </w:p>
        </w:tc>
        <w:tc>
          <w:tcPr/>
          <w:p>
            <w:pPr>
              <w:pStyle w:val="Compact"/>
              <w:jc w:val="left"/>
            </w:pPr>
            <w:r>
              <w:t xml:space="preserve">Preliminary competency mapping report for Teacher Secondary</w:t>
            </w:r>
          </w:p>
        </w:tc>
      </w:tr>
      <w:tr>
        <w:tc>
          <w:tcPr/>
          <w:p>
            <w:pPr>
              <w:pStyle w:val="Compact"/>
              <w:jc w:val="left"/>
            </w:pPr>
            <w:r>
              <w:t xml:space="preserve">Month 4-6</w:t>
            </w:r>
          </w:p>
        </w:tc>
        <w:tc>
          <w:tcPr/>
          <w:p>
            <w:pPr>
              <w:pStyle w:val="Compact"/>
              <w:jc w:val="left"/>
            </w:pPr>
            <w:r>
              <w:t xml:space="preserve">Survey deployment, ethics approval finalization</w:t>
            </w:r>
          </w:p>
        </w:tc>
        <w:tc>
          <w:tcPr/>
          <w:p>
            <w:pPr>
              <w:pStyle w:val="Compact"/>
              <w:jc w:val="left"/>
            </w:pPr>
            <w:r>
              <w:t xml:space="preserve">Data collection framework validated by MOE Research Ethics Committee</w:t>
            </w:r>
          </w:p>
        </w:tc>
      </w:tr>
      <w:tr>
        <w:tc>
          <w:tcPr/>
          <w:p>
            <w:pPr>
              <w:pStyle w:val="Compact"/>
              <w:jc w:val="left"/>
            </w:pPr>
            <w:r>
              <w:t xml:space="preserve">Month 7-12</w:t>
            </w:r>
          </w:p>
        </w:tc>
        <w:tc>
          <w:tcPr/>
          <w:p>
            <w:pPr>
              <w:pStyle w:val="Compact"/>
              <w:jc w:val="left"/>
            </w:pPr>
            <w:r>
              <w:t xml:space="preserve">Cases studies, co-design workshops with Teacher Secondary</w:t>
            </w:r>
          </w:p>
        </w:tc>
        <w:tc>
          <w:tcPr/>
          <w:p>
            <w:pPr>
              <w:pStyle w:val="Compact"/>
              <w:jc w:val="left"/>
            </w:pPr>
            <w:r>
              <w:t xml:space="preserve">SSPAF conceptual model draft (validated by 50+ Teacher Secondary)</w:t>
            </w:r>
          </w:p>
        </w:tc>
      </w:tr>
      <w:tr>
        <w:tc>
          <w:tcPr/>
          <w:p>
            <w:pPr>
              <w:pStyle w:val="Compact"/>
              <w:jc w:val="left"/>
            </w:pPr>
            <w:r>
              <w:t xml:space="preserve">Month 13-18</w:t>
            </w:r>
          </w:p>
        </w:tc>
        <w:tc>
          <w:tcPr/>
          <w:p>
            <w:pPr>
              <w:pStyle w:val="Compact"/>
              <w:jc w:val="left"/>
            </w:pPr>
            <w:r>
              <w:t xml:space="preserve">Pilot implementation, impact assessment</w:t>
            </w:r>
          </w:p>
        </w:tc>
        <w:tc>
          <w:tcPr/>
          <w:p>
            <w:pPr>
              <w:pStyle w:val="Compact"/>
              <w:jc w:val="left"/>
            </w:pPr>
            <w:r>
              <w:t xml:space="preserve">Final SSPAF toolkit with MOE-endorsed efficacy metrics</w:t>
            </w:r>
          </w:p>
        </w:tc>
      </w:tr>
    </w:tbl>
    <w:bookmarkEnd w:id="26"/>
    <w:bookmarkStart w:id="27" w:name="X07e0f1c2c39facac4ab08a22fb7860a3f614f73"/>
    <w:p>
      <w:pPr>
        <w:pStyle w:val="Heading2"/>
      </w:pPr>
      <w:r>
        <w:t xml:space="preserve">8. Conclusion: The Imperative for Contextualized Teacher Secondary Research in Singapore Singapore</w:t>
      </w:r>
    </w:p>
    <w:p>
      <w:pPr>
        <w:pStyle w:val="FirstParagraph"/>
      </w:pPr>
      <w:r>
        <w:t xml:space="preserve">This Thesis Proposal asserts that sustainable educational excellence in</w:t>
      </w:r>
      <w:r>
        <w:t xml:space="preserve"> </w:t>
      </w:r>
      <w:r>
        <w:rPr>
          <w:iCs/>
          <w:i/>
        </w:rPr>
        <w:t xml:space="preserve">Singapore Singapore</w:t>
      </w:r>
      <w:r>
        <w:t xml:space="preserve"> </w:t>
      </w:r>
      <w:r>
        <w:t xml:space="preserve">requires moving beyond generic teacher development models toward deeply contextualized frameworks for Teacher Secondary. As the nation navigates AI integration, global competitiveness, and student well-being imperatives, this research provides the urgently needed evidence base for empowering educators who are the true architects of Singapore's future. By anchoring every aspect of this study within Singapore's educational identity—from research design to pedagogical strategies—the Thesis Proposal ensures its relevance to current MOE priorities while generating globally applicable insights about secondary teacher development in high-achieving systems. The successful completion of this Thesis Proposal will position Teacher Secondary as central agents in Singapore's next phase of educational evolution, transforming classrooms into dynamic spaces where both students and educators flourish within the Singapore Singapore ecosystem.</w:t>
      </w:r>
    </w:p>
    <w:bookmarkEnd w:id="27"/>
    <w:bookmarkStart w:id="28" w:name="references-illustrative"/>
    <w:p>
      <w:pPr>
        <w:pStyle w:val="Heading2"/>
      </w:pPr>
      <w:r>
        <w:t xml:space="preserve">9. References (Illustrative)</w:t>
      </w:r>
    </w:p>
    <w:p>
      <w:pPr>
        <w:numPr>
          <w:ilvl w:val="0"/>
          <w:numId w:val="1004"/>
        </w:numPr>
        <w:pStyle w:val="Compact"/>
      </w:pPr>
      <w:r>
        <w:t xml:space="preserve">Ministry of Education, Singapore. (2023). *Annual Report on Education: Student Well-being and Learning Outcomes*. MOE Publications.</w:t>
      </w:r>
    </w:p>
    <w:p>
      <w:pPr>
        <w:numPr>
          <w:ilvl w:val="0"/>
          <w:numId w:val="1004"/>
        </w:numPr>
        <w:pStyle w:val="Compact"/>
      </w:pPr>
      <w:r>
        <w:t xml:space="preserve">Lee, S., &amp; Tan, L. (2022). *Cultural Dimensions in Singapore Secondary Classrooms*. NIE Press.</w:t>
      </w:r>
    </w:p>
    <w:p>
      <w:pPr>
        <w:numPr>
          <w:ilvl w:val="0"/>
          <w:numId w:val="1004"/>
        </w:numPr>
        <w:pStyle w:val="Compact"/>
      </w:pPr>
      <w:r>
        <w:t xml:space="preserve">Darling-Hammond, L. (2017). *Teacher Education around the World: What Can We Learn from International Practice?* OECD Publishing.</w:t>
      </w:r>
    </w:p>
    <w:p>
      <w:pPr>
        <w:numPr>
          <w:ilvl w:val="0"/>
          <w:numId w:val="1004"/>
        </w:numPr>
        <w:pStyle w:val="Compact"/>
      </w:pPr>
      <w:r>
        <w:t xml:space="preserve">Chua, K., &amp; Goh, S. (2021). "Beyond Exam Focus: Pedagogy in Singapore's Secondary Schools." *Asian Journal of Education*, 15(2),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Effectiveness in Singapore Education System</dc:title>
  <dc:creator/>
  <dc:language>en</dc:language>
  <cp:keywords/>
  <dcterms:created xsi:type="dcterms:W3CDTF">2026-07-23T10:06:19Z</dcterms:created>
  <dcterms:modified xsi:type="dcterms:W3CDTF">2026-07-23T10:06:19Z</dcterms:modified>
</cp:coreProperties>
</file>

<file path=docProps/custom.xml><?xml version="1.0" encoding="utf-8"?>
<Properties xmlns="http://schemas.openxmlformats.org/officeDocument/2006/custom-properties" xmlns:vt="http://schemas.openxmlformats.org/officeDocument/2006/docPropsVTypes"/>
</file>