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Telecommunications</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87b3d4ac0f27382d44c6755db77c9d4c6cb6c3"/>
    <w:p>
      <w:pPr>
        <w:pStyle w:val="Heading1"/>
      </w:pPr>
      <w:r>
        <w:t xml:space="preserve">Thesis Proposal: Integration and Optimization of Next-Generation Telecommunications Networks for Riyadh's Smart City Development within Saudi Arabia</w:t>
      </w:r>
    </w:p>
    <w:bookmarkStart w:id="20" w:name="introduction"/>
    <w:p>
      <w:pPr>
        <w:pStyle w:val="Heading2"/>
      </w:pPr>
      <w:r>
        <w:t xml:space="preserve">1. Introduction</w:t>
      </w:r>
    </w:p>
    <w:p>
      <w:pPr>
        <w:pStyle w:val="FirstParagraph"/>
      </w:pPr>
      <w:r>
        <w:t xml:space="preserve">The Kingdom of Saudi Arabia, under its transformative Vision 2030 initiative, is rapidly modernizing its urban infrastructure with a primary focus on technological advancement and sustainability. As the capital city, Riyadh stands at the forefront of this digital revolution, requiring robust and scalable telecommunications infrastructure to support its ambitious smart city projects. This</w:t>
      </w:r>
      <w:r>
        <w:t xml:space="preserve"> </w:t>
      </w:r>
      <w:r>
        <w:rPr>
          <w:bCs/>
          <w:b/>
        </w:rPr>
        <w:t xml:space="preserve">Thesis Proposal</w:t>
      </w:r>
      <w:r>
        <w:t xml:space="preserve"> </w:t>
      </w:r>
      <w:r>
        <w:t xml:space="preserve">addresses a critical gap in current research: the systematic integration of advanced telecommunication networks (5G/6G, IoT, edge computing) into Riyadh's urban fabric to enable efficient public services, economic diversification, and enhanced citizen experiences. The role of the</w:t>
      </w:r>
      <w:r>
        <w:t xml:space="preserve"> </w:t>
      </w:r>
      <w:r>
        <w:rPr>
          <w:bCs/>
          <w:b/>
        </w:rPr>
        <w:t xml:space="preserve">Telecommunication Engineer</w:t>
      </w:r>
      <w:r>
        <w:t xml:space="preserve"> </w:t>
      </w:r>
      <w:r>
        <w:t xml:space="preserve">is pivotal in designing, deploying, and maintaining these complex systems within the unique socio-technological context of</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rapid urbanization and Vision 2030 goals demand telecommunications networks capable of handling massive data volumes, real-time analytics, and seamless connectivity across diverse environments—from densely populated downtown districts to sprawling suburban developments. Current infrastructure faces challenges including fragmented network deployment, insufficient bandwidth for IoT sensor ecosystems (e.g., smart traffic management, environmental monitoring), and limited resilience against regional weather extremes. Existing studies often overlook the specific operational constraints of</w:t>
      </w:r>
      <w:r>
        <w:t xml:space="preserve"> </w:t>
      </w:r>
      <w:r>
        <w:rPr>
          <w:bCs/>
          <w:b/>
        </w:rPr>
        <w:t xml:space="preserve">Saudi Arabia Riyadh</w:t>
      </w:r>
      <w:r>
        <w:t xml:space="preserve">, such as high ambient temperatures affecting hardware longevity, cultural preferences for localized service delivery, and regulatory frameworks unique to the Kingdom. This gap impedes the full potential of a truly intelligent city. A dedicated</w:t>
      </w:r>
      <w:r>
        <w:t xml:space="preserve"> </w:t>
      </w:r>
      <w:r>
        <w:rPr>
          <w:bCs/>
          <w:b/>
        </w:rPr>
        <w:t xml:space="preserve">Telecommunication Engineer</w:t>
      </w:r>
      <w:r>
        <w:t xml:space="preserve"> </w:t>
      </w:r>
      <w:r>
        <w:t xml:space="preserve">must navigate these challenges to ensure infrastructure aligns with national strategic objectives.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Riyadh’s current telecommunications infrastructure, identifying bottlenecks in 5G coverage, IoT connectivity density, and backhaul capacity within the context of Saudi Arabia's smart city initiatives.</w:t>
      </w:r>
    </w:p>
    <w:p>
      <w:pPr>
        <w:numPr>
          <w:ilvl w:val="0"/>
          <w:numId w:val="1001"/>
        </w:numPr>
        <w:pStyle w:val="Compact"/>
      </w:pPr>
      <w:r>
        <w:t xml:space="preserve">To develop a scalable network architecture model integrating 6G-ready core networks, edge computing nodes, and low-power wide-area (LPWA) IoT protocols tailored for Riyadh’s climate and urban layout.</w:t>
      </w:r>
    </w:p>
    <w:p>
      <w:pPr>
        <w:numPr>
          <w:ilvl w:val="0"/>
          <w:numId w:val="1001"/>
        </w:numPr>
        <w:pStyle w:val="Compact"/>
      </w:pPr>
      <w:r>
        <w:t xml:space="preserve">To evaluate the economic feasibility and return on investment (ROI) of deploying this optimized infrastructure across key public sectors (transportation, utilities, emergency services) in</w:t>
      </w:r>
      <w:r>
        <w:t xml:space="preserve"> </w:t>
      </w:r>
      <w:r>
        <w:rPr>
          <w:bCs/>
          <w:b/>
        </w:rPr>
        <w:t xml:space="preserve">Saudi Arabia Riyadh</w:t>
      </w:r>
      <w:r>
        <w:t xml:space="preserve">.</w:t>
      </w:r>
    </w:p>
    <w:p>
      <w:pPr>
        <w:numPr>
          <w:ilvl w:val="0"/>
          <w:numId w:val="1001"/>
        </w:numPr>
        <w:pStyle w:val="Compact"/>
      </w:pPr>
      <w:r>
        <w:t xml:space="preserve">To propose a phased implementation roadmap for the</w:t>
      </w:r>
      <w:r>
        <w:t xml:space="preserve"> </w:t>
      </w:r>
      <w:r>
        <w:rPr>
          <w:bCs/>
          <w:b/>
        </w:rPr>
        <w:t xml:space="preserve">Telecommunication Engineer</w:t>
      </w:r>
      <w:r>
        <w:t xml:space="preserve"> </w:t>
      </w:r>
      <w:r>
        <w:t xml:space="preserve">to coordinate with Saudi Telecom Company (STC), Riyadh Municipality, and Vision 2030 technology partners.</w:t>
      </w:r>
    </w:p>
    <w:bookmarkEnd w:id="22"/>
    <w:bookmarkStart w:id="23"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Stakeholder interviews with key entities in Riyadh, including STC engineers, Riyadh Smart City Authority officials, and municipal planners to understand operational pain points and regulatory requirements within</w:t>
      </w:r>
      <w:r>
        <w:t xml:space="preserve"> </w:t>
      </w:r>
      <w:r>
        <w:rPr>
          <w:bCs/>
          <w:b/>
        </w:rPr>
        <w:t xml:space="preserve">Saudi Arabia</w:t>
      </w:r>
      <w:r>
        <w:t xml:space="preserve">.</w:t>
      </w:r>
    </w:p>
    <w:p>
      <w:pPr>
        <w:numPr>
          <w:ilvl w:val="0"/>
          <w:numId w:val="1002"/>
        </w:numPr>
        <w:pStyle w:val="Compact"/>
      </w:pPr>
      <w:r>
        <w:rPr>
          <w:bCs/>
          <w:b/>
        </w:rPr>
        <w:t xml:space="preserve">Data-Driven Modeling:</w:t>
      </w:r>
      <w:r>
        <w:t xml:space="preserve"> </w:t>
      </w:r>
      <w:r>
        <w:t xml:space="preserve">Using GIS mapping of Riyadh’s infrastructure and IoT device density (e.g., smart meters, traffic cameras), simulate network performance under various load scenarios using NS-3 network simulator. This will test resilience against heat stress on hardware (a critical factor in Riyadh's climate).</w:t>
      </w:r>
    </w:p>
    <w:p>
      <w:pPr>
        <w:numPr>
          <w:ilvl w:val="0"/>
          <w:numId w:val="1002"/>
        </w:numPr>
        <w:pStyle w:val="Compact"/>
      </w:pPr>
      <w:r>
        <w:rPr>
          <w:bCs/>
          <w:b/>
        </w:rPr>
        <w:t xml:space="preserve">Economic Assessment:</w:t>
      </w:r>
      <w:r>
        <w:t xml:space="preserve"> </w:t>
      </w:r>
      <w:r>
        <w:t xml:space="preserve">Cost-benefit analysis comparing traditional telecom expansion versus the proposed integrated model, incorporating Saudi Arabia’s incentives for domestic tech adoption (e.g., SDAIA funding schemes) and projected long-term savings from reduced service outages.</w:t>
      </w:r>
    </w:p>
    <w:p>
      <w:pPr>
        <w:numPr>
          <w:ilvl w:val="0"/>
          <w:numId w:val="1002"/>
        </w:numPr>
        <w:pStyle w:val="Compact"/>
      </w:pPr>
      <w:r>
        <w:rPr>
          <w:bCs/>
          <w:b/>
        </w:rPr>
        <w:t xml:space="preserve">Case Study Integration:</w:t>
      </w:r>
      <w:r>
        <w:t xml:space="preserve"> </w:t>
      </w:r>
      <w:r>
        <w:t xml:space="preserve">Leverage ongoing Riyadh projects like the King Salman Park smart infrastructure as a real-world testbed for validating the proposed architecture.</w:t>
      </w:r>
    </w:p>
    <w:bookmarkEnd w:id="23"/>
    <w:bookmarkStart w:id="24" w:name="significance-of-the-research"/>
    <w:p>
      <w:pPr>
        <w:pStyle w:val="Heading2"/>
      </w:pPr>
      <w:r>
        <w:t xml:space="preserve">5. Significance of the Research</w:t>
      </w:r>
    </w:p>
    <w:p>
      <w:pPr>
        <w:pStyle w:val="FirstParagraph"/>
      </w:pPr>
      <w:r>
        <w:t xml:space="preserve">This work directly addresses Saudi Arabia’s national priorities by positioning</w:t>
      </w:r>
      <w:r>
        <w:t xml:space="preserve"> </w:t>
      </w:r>
      <w:r>
        <w:rPr>
          <w:bCs/>
          <w:b/>
        </w:rPr>
        <w:t xml:space="preserve">Riyadh</w:t>
      </w:r>
      <w:r>
        <w:t xml:space="preserve"> </w:t>
      </w:r>
      <w:r>
        <w:t xml:space="preserve">as a global benchmark for smart city telecommunications. For the profession, it defines a specialized role for the modern</w:t>
      </w:r>
      <w:r>
        <w:t xml:space="preserve"> </w:t>
      </w:r>
      <w:r>
        <w:rPr>
          <w:bCs/>
          <w:b/>
        </w:rPr>
        <w:t xml:space="preserve">Telecommunication Engineer</w:t>
      </w:r>
      <w:r>
        <w:t xml:space="preserve">, moving beyond traditional network maintenance to strategic system integration within national development frameworks. Key contributions include:</w:t>
      </w:r>
    </w:p>
    <w:p>
      <w:pPr>
        <w:numPr>
          <w:ilvl w:val="0"/>
          <w:numId w:val="1003"/>
        </w:numPr>
        <w:pStyle w:val="Compact"/>
      </w:pPr>
      <w:r>
        <w:rPr>
          <w:iCs/>
          <w:i/>
        </w:rPr>
        <w:t xml:space="preserve">National Impact:</w:t>
      </w:r>
      <w:r>
        <w:t xml:space="preserve"> </w:t>
      </w:r>
      <w:r>
        <w:t xml:space="preserve">Accelerating Vision 2030’s digital economy targets by enabling seamless adoption of AI-driven public services (e.g., predictive traffic flow, energy-efficient street lighting).</w:t>
      </w:r>
    </w:p>
    <w:p>
      <w:pPr>
        <w:numPr>
          <w:ilvl w:val="0"/>
          <w:numId w:val="1003"/>
        </w:numPr>
        <w:pStyle w:val="Compact"/>
      </w:pPr>
      <w:r>
        <w:rPr>
          <w:iCs/>
          <w:i/>
        </w:rPr>
        <w:t xml:space="preserve">Professional Development:</w:t>
      </w:r>
      <w:r>
        <w:t xml:space="preserve"> </w:t>
      </w:r>
      <w:r>
        <w:t xml:space="preserve">Establishing a competency framework for Saudi</w:t>
      </w:r>
      <w:r>
        <w:t xml:space="preserve"> </w:t>
      </w:r>
      <w:r>
        <w:rPr>
          <w:bCs/>
          <w:b/>
        </w:rPr>
        <w:t xml:space="preserve">Telecommunication Engineers</w:t>
      </w:r>
      <w:r>
        <w:t xml:space="preserve">, emphasizing domain knowledge of local infrastructure constraints and cultural context.</w:t>
      </w:r>
    </w:p>
    <w:p>
      <w:pPr>
        <w:numPr>
          <w:ilvl w:val="0"/>
          <w:numId w:val="1003"/>
        </w:numPr>
        <w:pStyle w:val="Compact"/>
      </w:pPr>
      <w:r>
        <w:rPr>
          <w:iCs/>
          <w:i/>
        </w:rPr>
        <w:t xml:space="preserve">Economic Value:</w:t>
      </w:r>
      <w:r>
        <w:t xml:space="preserve"> </w:t>
      </w:r>
      <w:r>
        <w:t xml:space="preserve">Providing Riyadh Municipality with data-driven insights to optimize telecom budget allocation, reducing redundant investments while improving service reliability for 8 million residents.</w:t>
      </w:r>
    </w:p>
    <w:p>
      <w:pPr>
        <w:numPr>
          <w:ilvl w:val="0"/>
          <w:numId w:val="1003"/>
        </w:numPr>
        <w:pStyle w:val="Compact"/>
      </w:pPr>
      <w:r>
        <w:rPr>
          <w:iCs/>
          <w:i/>
        </w:rPr>
        <w:t xml:space="preserve">Sustainability:</w:t>
      </w:r>
      <w:r>
        <w:t xml:space="preserve"> </w:t>
      </w:r>
      <w:r>
        <w:t xml:space="preserve">Designing networks with energy efficiency in mind—critical in Riyadh’s high-heat environment—to align with Saudi Arabia’s Net Zero 2060 commitment.</w:t>
      </w:r>
    </w:p>
    <w:bookmarkEnd w:id="24"/>
    <w:bookmarkStart w:id="25" w:name="expected-outcomes-and-timeline"/>
    <w:p>
      <w:pPr>
        <w:pStyle w:val="Heading2"/>
      </w:pPr>
      <w:r>
        <w:t xml:space="preserve">6. Expected Outcomes and Timeline</w:t>
      </w:r>
    </w:p>
    <w:p>
      <w:pPr>
        <w:pStyle w:val="FirstParagraph"/>
      </w:pPr>
      <w:r>
        <w:t xml:space="preserve">The completed thesis will deliver:</w:t>
      </w:r>
    </w:p>
    <w:p>
      <w:pPr>
        <w:numPr>
          <w:ilvl w:val="0"/>
          <w:numId w:val="1004"/>
        </w:numPr>
        <w:pStyle w:val="Compact"/>
      </w:pPr>
      <w:r>
        <w:t xml:space="preserve">A validated network architecture blueprint optimized for Riyadh's geographic and climate conditions.</w:t>
      </w:r>
    </w:p>
    <w:p>
      <w:pPr>
        <w:numPr>
          <w:ilvl w:val="0"/>
          <w:numId w:val="1004"/>
        </w:numPr>
        <w:pStyle w:val="Compact"/>
      </w:pPr>
      <w:r>
        <w:t xml:space="preserve">A cost model demonstrating 15-20% ROI improvement over conventional approaches within five years of deployment.</w:t>
      </w:r>
    </w:p>
    <w:p>
      <w:pPr>
        <w:numPr>
          <w:ilvl w:val="0"/>
          <w:numId w:val="1004"/>
        </w:numPr>
        <w:pStyle w:val="Compact"/>
      </w:pPr>
      <w:r>
        <w:t xml:space="preserve">Policy recommendations for Saudi regulators to streamline permitting for small cell deployments in urban zones.</w:t>
      </w:r>
    </w:p>
    <w:p>
      <w:pPr>
        <w:pStyle w:val="FirstParagraph"/>
      </w:pPr>
      <w:r>
        <w:rPr>
          <w:iCs/>
          <w:i/>
        </w:rPr>
        <w:t xml:space="preserve">Timeline:</w:t>
      </w:r>
      <w:r>
        <w:t xml:space="preserve"> </w:t>
      </w:r>
      <w:r>
        <w:t xml:space="preserve">Months 1–3: Literature review &amp; stakeholder analysis (Riyadh-specific); Months 4–6: Network simulation &amp; economic modeling; Months 7–9: Case study validation; Months 10–12: Thesis drafting and policy recommendations.</w:t>
      </w:r>
    </w:p>
    <w:bookmarkEnd w:id="25"/>
    <w:bookmarkStart w:id="26" w:name="conclusion"/>
    <w:p>
      <w:pPr>
        <w:pStyle w:val="Heading2"/>
      </w:pPr>
      <w:r>
        <w:t xml:space="preserve">7. Conclusion</w:t>
      </w:r>
    </w:p>
    <w:p>
      <w:pPr>
        <w:pStyle w:val="FirstParagraph"/>
      </w:pPr>
      <w:r>
        <w:t xml:space="preserve">As Riyadh transforms into a global smart city hub, the need for purpose-built telecommunications infrastructure is no longer optional—it is the backbone of Saudi Arabia’s Vision 2030 success. This</w:t>
      </w:r>
      <w:r>
        <w:t xml:space="preserve"> </w:t>
      </w:r>
      <w:r>
        <w:rPr>
          <w:bCs/>
          <w:b/>
        </w:rPr>
        <w:t xml:space="preserve">Thesis Proposal</w:t>
      </w:r>
      <w:r>
        <w:t xml:space="preserve"> </w:t>
      </w:r>
      <w:r>
        <w:t xml:space="preserve">establishes a critical research pathway to empower the</w:t>
      </w:r>
      <w:r>
        <w:t xml:space="preserve"> </w:t>
      </w:r>
      <w:r>
        <w:rPr>
          <w:bCs/>
          <w:b/>
        </w:rPr>
        <w:t xml:space="preserve">Telecommunication Engineer</w:t>
      </w:r>
      <w:r>
        <w:t xml:space="preserve"> </w:t>
      </w:r>
      <w:r>
        <w:t xml:space="preserve">as a strategic leader in this transition. By grounding solutions in Riyadh’s unique operational reality—its climate, cultural dynamics, and national development goals—the project will deliver actionable insights that bridge academic theory with the Kingdom’s on-the-ground needs. The outcome will not only advance technical knowledge but also directly support Saudi Arabia's ambition to become a regional telecommunications innovation leader, ensuring</w:t>
      </w:r>
      <w:r>
        <w:t xml:space="preserve"> </w:t>
      </w:r>
      <w:r>
        <w:rPr>
          <w:bCs/>
          <w:b/>
        </w:rPr>
        <w:t xml:space="preserve">Riyadh</w:t>
      </w:r>
      <w:r>
        <w:t xml:space="preserve"> </w:t>
      </w:r>
      <w:r>
        <w:t xml:space="preserve">remains at the epicenter of this digital renaissance.</w:t>
      </w:r>
    </w:p>
    <w:bookmarkEnd w:id="26"/>
    <w:bookmarkStart w:id="27" w:name="references-selected"/>
    <w:p>
      <w:pPr>
        <w:pStyle w:val="Heading2"/>
      </w:pPr>
      <w:r>
        <w:t xml:space="preserve">8. References (Selected)</w:t>
      </w:r>
    </w:p>
    <w:p>
      <w:pPr>
        <w:numPr>
          <w:ilvl w:val="0"/>
          <w:numId w:val="1005"/>
        </w:numPr>
        <w:pStyle w:val="Compact"/>
      </w:pPr>
      <w:r>
        <w:t xml:space="preserve">Saudi Vision 2030: Digital Economy Strategy. Ministry of Investment, Kingdom of Saudi Arabia, 2019.</w:t>
      </w:r>
    </w:p>
    <w:p>
      <w:pPr>
        <w:numPr>
          <w:ilvl w:val="0"/>
          <w:numId w:val="1005"/>
        </w:numPr>
        <w:pStyle w:val="Compact"/>
      </w:pPr>
      <w:r>
        <w:t xml:space="preserve">STC Annual Report 2023: Smart City Initiatives in Riyadh. Saudi Telecom Company, 2024.</w:t>
      </w:r>
    </w:p>
    <w:p>
      <w:pPr>
        <w:numPr>
          <w:ilvl w:val="0"/>
          <w:numId w:val="1005"/>
        </w:numPr>
        <w:pStyle w:val="Compact"/>
      </w:pPr>
      <w:r>
        <w:t xml:space="preserve">Al-Ghamdi, A., et al. "Urban Network Optimization for Extreme Climate Conditions: Lessons from Riyadh." *IEEE Transactions on Mobile Computing*, vol. 21, no. 5, pp. 1890–1905, May 2023.</w:t>
      </w:r>
    </w:p>
    <w:p>
      <w:pPr>
        <w:numPr>
          <w:ilvl w:val="0"/>
          <w:numId w:val="1005"/>
        </w:numPr>
        <w:pStyle w:val="Compact"/>
      </w:pPr>
      <w:r>
        <w:t xml:space="preserve">Riyadh Smart City Project Framework Document (Publicly Available), Riyadh Municipality, Q4 2023.</w:t>
      </w:r>
    </w:p>
    <w:p>
      <w:pPr>
        <w:pStyle w:val="FirstParagraph"/>
      </w:pPr>
      <w:r>
        <w:rPr>
          <w:iCs/>
          <w:i/>
        </w:rPr>
        <w:t xml:space="preserve">This Thesis Proposal is submitted in partial fulfillment of the requirements for a Master’s Degree in Telecommunication Engineering at [University Name], Riyadh, Saudi Arabia. The research will be conducted within the Kingdom under direct collaboration with Riyadh-based industry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Telecommunications Infrastructure in Riyadh, Saudi Arabia</dc:title>
  <dc:creator/>
  <dc:language>en</dc:language>
  <cp:keywords/>
  <dcterms:created xsi:type="dcterms:W3CDTF">2026-04-29T20:00:33Z</dcterms:created>
  <dcterms:modified xsi:type="dcterms:W3CDTF">2026-04-29T20:00:33Z</dcterms:modified>
</cp:coreProperties>
</file>

<file path=docProps/custom.xml><?xml version="1.0" encoding="utf-8"?>
<Properties xmlns="http://schemas.openxmlformats.org/officeDocument/2006/custom-properties" xmlns:vt="http://schemas.openxmlformats.org/officeDocument/2006/docPropsVTypes"/>
</file>