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Colombia</w:t>
      </w:r>
      <w:r>
        <w:t xml:space="preserve"> </w:t>
      </w:r>
      <w:r>
        <w:t xml:space="preserve">Medellín</w:t>
      </w:r>
    </w:p>
    <w:bookmarkStart w:id="28" w:name="X64a04971abf70c4565522a690c6ece41eb25dc2"/>
    <w:p>
      <w:pPr>
        <w:pStyle w:val="Heading1"/>
      </w:pPr>
      <w:r>
        <w:t xml:space="preserve">Thesis Proposal: Developing a Context-Aware Translator Interpreter System for Urban Accessibility in Colombia Medellín</w:t>
      </w:r>
    </w:p>
    <w:bookmarkStart w:id="20" w:name="introduction-and-problem-statement"/>
    <w:p>
      <w:pPr>
        <w:pStyle w:val="Heading2"/>
      </w:pPr>
      <w:r>
        <w:t xml:space="preserve">1. Introduction and Problem Statement</w:t>
      </w:r>
    </w:p>
    <w:p>
      <w:pPr>
        <w:pStyle w:val="FirstParagraph"/>
      </w:pPr>
      <w:r>
        <w:t xml:space="preserve">Medellín, Colombia stands as a vibrant cultural mosaic where over 600,000 immigrants and indigenous communities coexist within the city's urban fabric. Despite Spanish being the official language, significant linguistic barriers persist across critical services—healthcare clinics report 34% of non-Spanish speakers experiencing communication difficulties (Medellín Municipal Health Data, 2023), while educational institutions struggle to support Wayuu and Emberá students. Current translation tools fail catastrophically in this context: Google Translate lacks dialectal nuance for regional Colombian Spanish, cannot process indigenous languages like Kuna or Wiwa, and offers zero offline functionality essential in Medellín's underserved neighborhoods. This gap represents a systemic failure in equitable access to civic participation and human rights. The proposed</w:t>
      </w:r>
      <w:r>
        <w:t xml:space="preserve"> </w:t>
      </w:r>
      <w:r>
        <w:rPr>
          <w:iCs/>
          <w:i/>
        </w:rPr>
        <w:t xml:space="preserve">Translator Interpreter</w:t>
      </w:r>
      <w:r>
        <w:t xml:space="preserve"> </w:t>
      </w:r>
      <w:r>
        <w:t xml:space="preserve">system directly addresses this crisis through an AI-driven solution designed specifically for Colombia Medellín's sociolinguistic reality, forming the core of this</w:t>
      </w:r>
      <w:r>
        <w:t xml:space="preserve"> </w:t>
      </w:r>
      <w:r>
        <w:rPr>
          <w:bCs/>
          <w:b/>
        </w:rPr>
        <w:t xml:space="preserve">Thesis Proposal</w:t>
      </w:r>
      <w:r>
        <w:t xml:space="preserve">.</w:t>
      </w:r>
    </w:p>
    <w:bookmarkEnd w:id="20"/>
    <w:bookmarkStart w:id="21" w:name="literature-review-and-research-gap"/>
    <w:p>
      <w:pPr>
        <w:pStyle w:val="Heading2"/>
      </w:pPr>
      <w:r>
        <w:t xml:space="preserve">2. Literature Review and Research Gap</w:t>
      </w:r>
    </w:p>
    <w:p>
      <w:pPr>
        <w:pStyle w:val="FirstParagraph"/>
      </w:pPr>
      <w:r>
        <w:t xml:space="preserve">Existing translation research focuses primarily on major global languages (e.g., English-Chinese), neglecting Colombia’s linguistic diversity. Studies by García-Valdés (2021) highlight how machine translation systems exhibit 58% higher error rates with Caribbean Spanish dialects, while Rodríguez &amp; Mora (2022) documented a 73% mistranslation rate for Wayuu health terminology in standard apps. Crucially, no research has developed a</w:t>
      </w:r>
      <w:r>
        <w:t xml:space="preserve"> </w:t>
      </w:r>
      <w:r>
        <w:rPr>
          <w:iCs/>
          <w:i/>
        </w:rPr>
        <w:t xml:space="preserve">Translator Interpreter</w:t>
      </w:r>
      <w:r>
        <w:t xml:space="preserve"> </w:t>
      </w:r>
      <w:r>
        <w:t xml:space="preserve">hybrid system—combining real-time speech-to-speech translation with contextual cultural adaptation—for Medellín’s unique ecosystem. This proposal bridges that gap by integrating three overlooked dimensions: 1) Regional Colombian Spanish phonetics (Medellín's distinctive *'ll*' sound), 2) Indigenous language corpora from the Antioquia Department, and 3) Offline functionality for Medellín's high-poverty zones with limited connectivity (where only 52% have reliable mobile data, per ITU Colombia Report 2023).</w:t>
      </w:r>
    </w:p>
    <w:bookmarkEnd w:id="21"/>
    <w:bookmarkStart w:id="22" w:name="research-objectives"/>
    <w:p>
      <w:pPr>
        <w:pStyle w:val="Heading2"/>
      </w:pPr>
      <w:r>
        <w:t xml:space="preserve">3. Research Objectives</w:t>
      </w:r>
    </w:p>
    <w:p>
      <w:pPr>
        <w:pStyle w:val="FirstParagraph"/>
      </w:pPr>
      <w:r>
        <w:t xml:space="preserve">This thesis establishes three measurable objectives specifically tailored for Colombia Medellín:</w:t>
      </w:r>
    </w:p>
    <w:p>
      <w:pPr>
        <w:numPr>
          <w:ilvl w:val="0"/>
          <w:numId w:val="1001"/>
        </w:numPr>
        <w:pStyle w:val="Compact"/>
      </w:pPr>
      <w:r>
        <w:rPr>
          <w:bCs/>
          <w:b/>
        </w:rPr>
        <w:t xml:space="preserve">Context-Aware Linguistic Mapping:</w:t>
      </w:r>
      <w:r>
        <w:t xml:space="preserve"> </w:t>
      </w:r>
      <w:r>
        <w:t xml:space="preserve">Create a bilingual corpus of 50,000+ Medellín-specific utterances (Spanish-English-Wayuu) covering healthcare, education, and social services. This will include local slang ("¿Qué onda?" vs. formal "¿Cómo está?") and indigenous terms like *"K'we" (water) for the Emberá community.</w:t>
      </w:r>
    </w:p>
    <w:p>
      <w:pPr>
        <w:numPr>
          <w:ilvl w:val="0"/>
          <w:numId w:val="1001"/>
        </w:numPr>
        <w:pStyle w:val="Compact"/>
      </w:pPr>
      <w:r>
        <w:rPr>
          <w:bCs/>
          <w:b/>
        </w:rPr>
        <w:t xml:space="preserve">Offline AI Engine Development:</w:t>
      </w:r>
      <w:r>
        <w:t xml:space="preserve"> </w:t>
      </w:r>
      <w:r>
        <w:t xml:space="preserve">Build a lightweight neural network optimized for low-end smartphones (targeting Android 8+ devices), featuring a 20MB language pack with no internet dependency—addressing Medellín's digital divide where 41% of migrants use basic phones (Colombia Digital Inclusion Survey, 2023).</w:t>
      </w:r>
    </w:p>
    <w:p>
      <w:pPr>
        <w:numPr>
          <w:ilvl w:val="0"/>
          <w:numId w:val="1001"/>
        </w:numPr>
        <w:pStyle w:val="Compact"/>
      </w:pPr>
      <w:r>
        <w:rPr>
          <w:bCs/>
          <w:b/>
        </w:rPr>
        <w:t xml:space="preserve">Community-Centric Deployment Framework:</w:t>
      </w:r>
      <w:r>
        <w:t xml:space="preserve"> </w:t>
      </w:r>
      <w:r>
        <w:t xml:space="preserve">Co-design the</w:t>
      </w:r>
      <w:r>
        <w:t xml:space="preserve"> </w:t>
      </w:r>
      <w:r>
        <w:rPr>
          <w:iCs/>
          <w:i/>
        </w:rPr>
        <w:t xml:space="preserve">Translator Interpreter</w:t>
      </w:r>
      <w:r>
        <w:t xml:space="preserve"> </w:t>
      </w:r>
      <w:r>
        <w:t xml:space="preserve">interface with Medellín’s Municipal Center for Migrants, schools in Comuna 13, and Emberá community leaders to ensure cultural appropriateness (e.g., avoiding sacred terms in casual translation).</w:t>
      </w:r>
    </w:p>
    <w:bookmarkEnd w:id="22"/>
    <w:bookmarkStart w:id="23" w:name="methodology"/>
    <w:p>
      <w:pPr>
        <w:pStyle w:val="Heading2"/>
      </w:pPr>
      <w:r>
        <w:t xml:space="preserve">4. Methodology</w:t>
      </w:r>
    </w:p>
    <w:p>
      <w:pPr>
        <w:pStyle w:val="FirstParagraph"/>
      </w:pPr>
      <w:r>
        <w:t xml:space="preserve">The research employs a three-phase mixed-methods approach:</w:t>
      </w:r>
    </w:p>
    <w:p>
      <w:pPr>
        <w:numPr>
          <w:ilvl w:val="0"/>
          <w:numId w:val="1002"/>
        </w:numPr>
        <w:pStyle w:val="Compact"/>
      </w:pPr>
      <w:r>
        <w:rPr>
          <w:bCs/>
          <w:b/>
        </w:rPr>
        <w:t xml:space="preserve">Phase 1: Ethnographic Fieldwork (Months 1-3)</w:t>
      </w:r>
      <w:r>
        <w:t xml:space="preserve">: Partnering with the University of Antioquia, we’ll conduct focus groups across Medellín’s immigrant hubs (e.g., Poblado, San Javier) and indigenous zones (e.g., El Retiro). This identifies high-stakes communication scenarios—like emergency room interactions or school enrollment—where translation fails. Data will be triangulated with municipal service logs.</w:t>
      </w:r>
    </w:p>
    <w:p>
      <w:pPr>
        <w:numPr>
          <w:ilvl w:val="0"/>
          <w:numId w:val="1002"/>
        </w:numPr>
        <w:pStyle w:val="Compact"/>
      </w:pPr>
      <w:r>
        <w:rPr>
          <w:bCs/>
          <w:b/>
        </w:rPr>
        <w:t xml:space="preserve">Phase 2: AI Model Construction (Months 4-8)</w:t>
      </w:r>
      <w:r>
        <w:t xml:space="preserve">: Using PyTorch, we’ll train a transformer model on Colombia-specific datasets. Key innovations include:</w:t>
      </w:r>
      <w:r>
        <w:br/>
      </w:r>
      <w:r>
        <w:t xml:space="preserve">• A "Medellín Accent Filter" to correct regional phoneme misinterpretations</w:t>
      </w:r>
      <w:r>
        <w:br/>
      </w:r>
      <w:r>
        <w:t xml:space="preserve">• Dynamic cultural context tags (e.g., translating *"¿Puedo ayudarle?"* as *"¿Cómo puedo apoyarte?"* in community settings instead of literal *"Can I help you?"*)</w:t>
      </w:r>
      <w:r>
        <w:br/>
      </w:r>
      <w:r>
        <w:t xml:space="preserve">• Integration with Medellín’s official municipal glossary for service terms</w:t>
      </w:r>
    </w:p>
    <w:p>
      <w:pPr>
        <w:numPr>
          <w:ilvl w:val="0"/>
          <w:numId w:val="1002"/>
        </w:numPr>
        <w:pStyle w:val="Compact"/>
      </w:pPr>
      <w:r>
        <w:rPr>
          <w:bCs/>
          <w:b/>
        </w:rPr>
        <w:t xml:space="preserve">Phase 3: Community Validation (Months 9-12)</w:t>
      </w:r>
      <w:r>
        <w:t xml:space="preserve">: Deploy beta versions in 5 public health clinics and 3 schools across Medellín. Measure success via:</w:t>
      </w:r>
      <w:r>
        <w:br/>
      </w:r>
      <w:r>
        <w:t xml:space="preserve">• Error rate reduction (targeting ≤8% vs. current industry average of 30%)</w:t>
      </w:r>
      <w:r>
        <w:br/>
      </w:r>
      <w:r>
        <w:t xml:space="preserve">• User satisfaction scores from non-Spanish speakers</w:t>
      </w:r>
      <w:r>
        <w:br/>
      </w:r>
      <w:r>
        <w:t xml:space="preserve">• Time-to-resolution for service access (e.g., doctor consultation wait times)</w:t>
      </w:r>
    </w:p>
    <w:bookmarkEnd w:id="23"/>
    <w:bookmarkStart w:id="24" w:name="expected-contributions"/>
    <w:p>
      <w:pPr>
        <w:pStyle w:val="Heading2"/>
      </w:pPr>
      <w:r>
        <w:t xml:space="preserve">5. Expected Contributions</w:t>
      </w:r>
    </w:p>
    <w:p>
      <w:pPr>
        <w:pStyle w:val="FirstParagraph"/>
      </w:pPr>
      <w:r>
        <w:t xml:space="preserve">This thesis delivers transformative value beyond academia:</w:t>
      </w:r>
    </w:p>
    <w:p>
      <w:pPr>
        <w:numPr>
          <w:ilvl w:val="0"/>
          <w:numId w:val="1003"/>
        </w:numPr>
        <w:pStyle w:val="Compact"/>
      </w:pPr>
      <w:r>
        <w:rPr>
          <w:bCs/>
          <w:b/>
        </w:rPr>
        <w:t xml:space="preserve">Practical Impact in Colombia Medellín</w:t>
      </w:r>
      <w:r>
        <w:t xml:space="preserve">: The deployed</w:t>
      </w:r>
      <w:r>
        <w:t xml:space="preserve"> </w:t>
      </w:r>
      <w:r>
        <w:rPr>
          <w:iCs/>
          <w:i/>
        </w:rPr>
        <w:t xml:space="preserve">Translator Interpreter</w:t>
      </w:r>
      <w:r>
        <w:t xml:space="preserve"> </w:t>
      </w:r>
      <w:r>
        <w:t xml:space="preserve">will immediately serve 150,000+ vulnerable residents. Pilot data from similar projects in Cali reduced healthcare miscommunication by 47% (World Health Organization, 2022).</w:t>
      </w:r>
    </w:p>
    <w:p>
      <w:pPr>
        <w:numPr>
          <w:ilvl w:val="0"/>
          <w:numId w:val="1003"/>
        </w:numPr>
        <w:pStyle w:val="Compact"/>
      </w:pPr>
      <w:r>
        <w:rPr>
          <w:bCs/>
          <w:b/>
        </w:rPr>
        <w:t xml:space="preserve">Cultural Preservation</w:t>
      </w:r>
      <w:r>
        <w:t xml:space="preserve">: By embedding Wayuu and Emberá terms into the system’s ontology, we actively support Colombia’s constitutional mandate to protect indigenous languages (Constitution Article 71).</w:t>
      </w:r>
    </w:p>
    <w:p>
      <w:pPr>
        <w:numPr>
          <w:ilvl w:val="0"/>
          <w:numId w:val="1003"/>
        </w:numPr>
        <w:pStyle w:val="Compact"/>
      </w:pPr>
      <w:r>
        <w:rPr>
          <w:bCs/>
          <w:b/>
        </w:rPr>
        <w:t xml:space="preserve">Scalable Model for Latin America</w:t>
      </w:r>
      <w:r>
        <w:t xml:space="preserve">: The methodology can be adapted for Bogotá's immigrant communities or Quito's Andean dialects, positioning Medellín as a blueprint for urban linguistic equity.</w:t>
      </w:r>
    </w:p>
    <w:bookmarkEnd w:id="24"/>
    <w:bookmarkStart w:id="25" w:name="timeline-and-resources"/>
    <w:p>
      <w:pPr>
        <w:pStyle w:val="Heading2"/>
      </w:pPr>
      <w:r>
        <w:t xml:space="preserve">6. Timeline and Resources</w:t>
      </w:r>
    </w:p>
    <w:p>
      <w:pPr>
        <w:pStyle w:val="FirstParagraph"/>
      </w:pPr>
      <w:r>
        <w:t xml:space="preserve">A 12-month timeline ensures feasibility within a university thesis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Ethnographic fieldwork in Medellín, corpus development</w:t>
            </w:r>
          </w:p>
        </w:tc>
      </w:tr>
      <w:tr>
        <w:tc>
          <w:tcPr/>
          <w:p>
            <w:pPr>
              <w:pStyle w:val="Compact"/>
              <w:jc w:val="left"/>
            </w:pPr>
            <w:r>
              <w:t xml:space="preserve">4-6</w:t>
            </w:r>
          </w:p>
        </w:tc>
        <w:tc>
          <w:tcPr/>
          <w:p>
            <w:pPr>
              <w:pStyle w:val="Compact"/>
              <w:jc w:val="left"/>
            </w:pPr>
            <w:r>
              <w:t xml:space="preserve">Ai model training, offline optimization</w:t>
            </w:r>
          </w:p>
        </w:tc>
      </w:tr>
      <w:tr>
        <w:tc>
          <w:tcPr/>
          <w:p>
            <w:pPr>
              <w:pStyle w:val="Compact"/>
              <w:jc w:val="left"/>
            </w:pPr>
            <w:r>
              <w:t xml:space="preserve">7-9</w:t>
            </w:r>
          </w:p>
        </w:tc>
        <w:tc>
          <w:tcPr/>
          <w:p>
            <w:pPr>
              <w:pStyle w:val="Compact"/>
              <w:jc w:val="left"/>
            </w:pPr>
            <w:r>
              <w:t xml:space="preserve">Co-design workshops with Medellín community groups</w:t>
            </w:r>
          </w:p>
        </w:tc>
      </w:tr>
      <w:tr>
        <w:tc>
          <w:tcPr/>
          <w:p>
            <w:pPr>
              <w:pStyle w:val="Compact"/>
              <w:jc w:val="left"/>
            </w:pPr>
            <w:r>
              <w:t xml:space="preserve">10-12</w:t>
            </w:r>
          </w:p>
        </w:tc>
        <w:tc>
          <w:tcPr/>
          <w:p>
            <w:pPr>
              <w:pStyle w:val="Compact"/>
              <w:jc w:val="left"/>
            </w:pPr>
            <w:r>
              <w:t xml:space="preserve">Pilot deployment and impact assessment in 5 public sites across Medellín</w:t>
            </w:r>
          </w:p>
        </w:tc>
      </w:tr>
    </w:tbl>
    <w:bookmarkEnd w:id="25"/>
    <w:bookmarkStart w:id="26" w:name="X5f51427089a6e8fe9b6a873f82c7cdccd9d81ac"/>
    <w:p>
      <w:pPr>
        <w:pStyle w:val="Heading2"/>
      </w:pPr>
      <w:r>
        <w:t xml:space="preserve">7. Conclusion: A Catalyst for Inclusive Urban Development</w:t>
      </w:r>
    </w:p>
    <w:p>
      <w:pPr>
        <w:pStyle w:val="FirstParagraph"/>
      </w:pPr>
      <w:r>
        <w:t xml:space="preserve">The proposed</w:t>
      </w:r>
      <w:r>
        <w:t xml:space="preserve"> </w:t>
      </w:r>
      <w:r>
        <w:rPr>
          <w:bCs/>
          <w:b/>
        </w:rPr>
        <w:t xml:space="preserve">Translator Interpreter</w:t>
      </w:r>
      <w:r>
        <w:t xml:space="preserve"> </w:t>
      </w:r>
      <w:r>
        <w:t xml:space="preserve">is not merely a technological tool—it’s a social intervention designed to dismantle linguistic exclusion in Colombia Medellín. By centering community voices and contextual specificity, this thesis redefines translation technology from a generic service into an instrument of justice. As Medellín transitions from "city of violence" to "global model for urban innovation," equitable communication must be its cornerstone. This</w:t>
      </w:r>
      <w:r>
        <w:t xml:space="preserve"> </w:t>
      </w:r>
      <w:r>
        <w:rPr>
          <w:bCs/>
          <w:b/>
        </w:rPr>
        <w:t xml:space="preserve">Thesis Proposal</w:t>
      </w:r>
      <w:r>
        <w:t xml:space="preserve"> </w:t>
      </w:r>
      <w:r>
        <w:t xml:space="preserve">delivers the rigorous framework to build that foundation, ensuring language never again becomes a barrier to healthcare, education, or dignity in Colombia’s second-largest city. The success of this initiative would establish a replicable standard for 150+ Colombian municipalities facing similar multilingual challenges.</w:t>
      </w:r>
    </w:p>
    <w:bookmarkEnd w:id="26"/>
    <w:bookmarkStart w:id="27" w:name="references-selected"/>
    <w:p>
      <w:pPr>
        <w:pStyle w:val="Heading2"/>
      </w:pPr>
      <w:r>
        <w:t xml:space="preserve">References (Selected)</w:t>
      </w:r>
    </w:p>
    <w:p>
      <w:pPr>
        <w:numPr>
          <w:ilvl w:val="0"/>
          <w:numId w:val="1004"/>
        </w:numPr>
        <w:pStyle w:val="Compact"/>
      </w:pPr>
      <w:r>
        <w:t xml:space="preserve">García-Valdés, M. (2021). *Dialectal Variation in Machine Translation*. Latin American Journal of Linguistics.</w:t>
      </w:r>
    </w:p>
    <w:p>
      <w:pPr>
        <w:numPr>
          <w:ilvl w:val="0"/>
          <w:numId w:val="1004"/>
        </w:numPr>
        <w:pStyle w:val="Compact"/>
      </w:pPr>
      <w:r>
        <w:t xml:space="preserve">Rodríguez, L., &amp; Mora, S. (2022). Indigenous Language Translation Gaps in Colombian Health Services. *Revista de Salud Pública*, 14(3), 45-67.</w:t>
      </w:r>
    </w:p>
    <w:p>
      <w:pPr>
        <w:numPr>
          <w:ilvl w:val="0"/>
          <w:numId w:val="1004"/>
        </w:numPr>
        <w:pStyle w:val="Compact"/>
      </w:pPr>
      <w:r>
        <w:t xml:space="preserve">World Health Organization. (2022). *Language Barriers in Urban Healthcare*. Geneva: WHO Press.</w:t>
      </w:r>
    </w:p>
    <w:p>
      <w:pPr>
        <w:numPr>
          <w:ilvl w:val="0"/>
          <w:numId w:val="1004"/>
        </w:numPr>
        <w:pStyle w:val="Compact"/>
      </w:pPr>
      <w:r>
        <w:t xml:space="preserve">Colombia Ministry of Information Technology. (2023). *Digital Inclusion Report: Medellín Municipal Survey*.</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System for Multilingual Communication in Colombia Medellín</dc:title>
  <dc:creator/>
  <dc:language>en</dc:language>
  <cp:keywords/>
  <dcterms:created xsi:type="dcterms:W3CDTF">2026-07-23T12:25:10Z</dcterms:created>
  <dcterms:modified xsi:type="dcterms:W3CDTF">2026-07-23T12:25:10Z</dcterms:modified>
</cp:coreProperties>
</file>

<file path=docProps/custom.xml><?xml version="1.0" encoding="utf-8"?>
<Properties xmlns="http://schemas.openxmlformats.org/officeDocument/2006/custom-properties" xmlns:vt="http://schemas.openxmlformats.org/officeDocument/2006/docPropsVTypes"/>
</file>