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Germany</w:t>
      </w:r>
      <w:r>
        <w:t xml:space="preserve"> </w:t>
      </w:r>
      <w:r>
        <w:t xml:space="preserve">Berlin</w:t>
      </w:r>
    </w:p>
    <w:bookmarkStart w:id="27" w:name="X48f3318dbfe1f8cefce85978645f9d4cddfcbbf"/>
    <w:p>
      <w:pPr>
        <w:pStyle w:val="Heading1"/>
      </w:pPr>
      <w:r>
        <w:t xml:space="preserve">Thesis Proposal: Developing an Integrated Translator Interpreter Framework for Multilingual Service Delivery in Germany Berlin</w:t>
      </w:r>
    </w:p>
    <w:bookmarkStart w:id="20" w:name="abstract"/>
    <w:p>
      <w:pPr>
        <w:pStyle w:val="Heading2"/>
      </w:pPr>
      <w:r>
        <w:t xml:space="preserve">Abstract</w:t>
      </w:r>
    </w:p>
    <w:p>
      <w:pPr>
        <w:pStyle w:val="FirstParagraph"/>
      </w:pPr>
      <w:r>
        <w:t xml:space="preserve">This Thesis Proposal outlines a critical research initiative addressing the escalating demand for professional language mediation services within Berlin, Germany. As the capital city of Germany, Berlin represents a unique confluence of linguistic diversity and institutional complexity where effective communication is paramount for social cohesion and administrative efficiency. The proposed study centers on developing an optimized</w:t>
      </w:r>
      <w:r>
        <w:t xml:space="preserve"> </w:t>
      </w:r>
      <w:r>
        <w:rPr>
          <w:iCs/>
          <w:i/>
        </w:rPr>
        <w:t xml:space="preserve">Translator Interpreter</w:t>
      </w:r>
      <w:r>
        <w:t xml:space="preserve"> </w:t>
      </w:r>
      <w:r>
        <w:t xml:space="preserve">service model tailored to Berlin's specific socio-legal context. This research responds to documented gaps in current service provision, particularly within public administration, healthcare, and refugee integration programs. By examining Berlin's distinct demographic realities—including its 37% foreign-born population—and legal frameworks like the German Interpretation Act (Dolmetschgesetz), this Thesis Proposal establishes a foundation for evidence-based policy recommendations. The anticipated outcome is a scalable framework that enhances accessibility while upholding professional standards in Germany Berlin, directly contributing to inclusive urban governance.</w:t>
      </w:r>
    </w:p>
    <w:bookmarkEnd w:id="20"/>
    <w:bookmarkStart w:id="21" w:name="X74436043da0f993b8f5dee943978964fd33eaa0"/>
    <w:p>
      <w:pPr>
        <w:pStyle w:val="Heading2"/>
      </w:pPr>
      <w:r>
        <w:t xml:space="preserve">1. Introduction: Contextualizing the Translator Interpreter Imperative in Berlin</w:t>
      </w:r>
    </w:p>
    <w:p>
      <w:pPr>
        <w:pStyle w:val="FirstParagraph"/>
      </w:pPr>
      <w:r>
        <w:t xml:space="preserve">Germany's integration policies and Berlin's status as a global city necessitate sophisticated multilingual capabilities. With over 1.9 million residents speaking languages other than German (Statistisches Landesamt Berlin, 2023), and the city hosting Europe’s largest refugee reception centers, seamless communication is not merely convenient—it is a constitutional requirement under Germany's Basic Law (Art. 5). The role of the</w:t>
      </w:r>
      <w:r>
        <w:t xml:space="preserve"> </w:t>
      </w:r>
      <w:r>
        <w:rPr>
          <w:iCs/>
          <w:i/>
        </w:rPr>
        <w:t xml:space="preserve">Translator Interpreter</w:t>
      </w:r>
      <w:r>
        <w:t xml:space="preserve"> </w:t>
      </w:r>
      <w:r>
        <w:t xml:space="preserve">transcends mere language conversion; it embodies cultural mediation and legal fidelity within Berlin's complex ecosystem. Current service models face fragmentation: healthcare interpreters often lack asylum law expertise, while administrative translators struggle with colloquial Berlin dialects. This Thesis Proposal confronts these challenges head-on, arguing that a city-specific</w:t>
      </w:r>
      <w:r>
        <w:t xml:space="preserve"> </w:t>
      </w:r>
      <w:r>
        <w:rPr>
          <w:iCs/>
          <w:i/>
        </w:rPr>
        <w:t xml:space="preserve">Translator Interpreter</w:t>
      </w:r>
      <w:r>
        <w:t xml:space="preserve"> </w:t>
      </w:r>
      <w:r>
        <w:t xml:space="preserve">framework is essential for Berlin’s social and economic vitality.</w:t>
      </w:r>
    </w:p>
    <w:bookmarkEnd w:id="21"/>
    <w:bookmarkStart w:id="22" w:name="X9d263bdb27e4a4c15f8d98f064faffe1f9eca5a"/>
    <w:p>
      <w:pPr>
        <w:pStyle w:val="Heading2"/>
      </w:pPr>
      <w:r>
        <w:t xml:space="preserve">2. Problem Statement: Critical Gaps in Existing Service Provision</w:t>
      </w:r>
    </w:p>
    <w:p>
      <w:pPr>
        <w:pStyle w:val="FirstParagraph"/>
      </w:pPr>
      <w:r>
        <w:t xml:space="preserve">In Germany Berlin, service fragmentation creates tangible barriers. A 2023 report by the Senate Department for Integration revealed that 45% of non-German-speaking citizens experienced miscommunication during critical administrative processes—leading to denied social benefits or delayed healthcare access. The root causes are systemic:</w:t>
      </w:r>
    </w:p>
    <w:p>
      <w:pPr>
        <w:numPr>
          <w:ilvl w:val="0"/>
          <w:numId w:val="1001"/>
        </w:numPr>
        <w:pStyle w:val="Compact"/>
      </w:pPr>
      <w:r>
        <w:rPr>
          <w:bCs/>
          <w:b/>
        </w:rPr>
        <w:t xml:space="preserve">Regulatory Mismatch:</w:t>
      </w:r>
      <w:r>
        <w:t xml:space="preserve"> </w:t>
      </w:r>
      <w:r>
        <w:t xml:space="preserve">National standards (e.g., the German Interpreters' Association guidelines) rarely account for Berlin’s unique refugee influx patterns.</w:t>
      </w:r>
    </w:p>
    <w:p>
      <w:pPr>
        <w:numPr>
          <w:ilvl w:val="0"/>
          <w:numId w:val="1001"/>
        </w:numPr>
        <w:pStyle w:val="Compact"/>
      </w:pPr>
      <w:r>
        <w:rPr>
          <w:bCs/>
          <w:b/>
        </w:rPr>
        <w:t xml:space="preserve">Resource Scarcity:</w:t>
      </w:r>
      <w:r>
        <w:t xml:space="preserve"> </w:t>
      </w:r>
      <w:r>
        <w:t xml:space="preserve">Only 12% of certified interpreters work in Berlin’s public sector, creating 6- to 8-week waiting times for asylum hearings (Berlin Integration Monitor, 2023).</w:t>
      </w:r>
    </w:p>
    <w:p>
      <w:pPr>
        <w:numPr>
          <w:ilvl w:val="0"/>
          <w:numId w:val="1001"/>
        </w:numPr>
        <w:pStyle w:val="Compact"/>
      </w:pPr>
      <w:r>
        <w:rPr>
          <w:bCs/>
          <w:b/>
        </w:rPr>
        <w:t xml:space="preserve">Cultural Blind Spots:</w:t>
      </w:r>
      <w:r>
        <w:t xml:space="preserve"> </w:t>
      </w:r>
      <w:r>
        <w:t xml:space="preserve">Standard training overlooks Berlin-specific nuances like the use of "Berlinerisch" slang or community trust dynamics in neighborhoods such as Neukölln or Kreuzberg.</w:t>
      </w:r>
    </w:p>
    <w:p>
      <w:pPr>
        <w:pStyle w:val="FirstParagraph"/>
      </w:pPr>
      <w:r>
        <w:t xml:space="preserve">This Thesis Proposal posits that without a hyper-localized</w:t>
      </w:r>
      <w:r>
        <w:t xml:space="preserve"> </w:t>
      </w:r>
      <w:r>
        <w:rPr>
          <w:iCs/>
          <w:i/>
        </w:rPr>
        <w:t xml:space="preserve">Translator Interpreter</w:t>
      </w:r>
      <w:r>
        <w:t xml:space="preserve"> </w:t>
      </w:r>
      <w:r>
        <w:t xml:space="preserve">strategy, Germany Berlin will continue to underutilize its linguistic capital and exacerbate social inequities. The research thus directly addresses a critical void in German urban studies.</w:t>
      </w:r>
    </w:p>
    <w:bookmarkEnd w:id="22"/>
    <w:bookmarkStart w:id="23" w:name="research-objectives-and-questions"/>
    <w:p>
      <w:pPr>
        <w:pStyle w:val="Heading2"/>
      </w:pPr>
      <w:r>
        <w:t xml:space="preserve">3. Research Objectives and Questions</w:t>
      </w:r>
    </w:p>
    <w:p>
      <w:pPr>
        <w:pStyle w:val="FirstParagraph"/>
      </w:pPr>
      <w:r>
        <w:t xml:space="preserve">This Thesis Proposal defines three interlocking objectives for the proposed study:</w:t>
      </w:r>
    </w:p>
    <w:p>
      <w:pPr>
        <w:numPr>
          <w:ilvl w:val="0"/>
          <w:numId w:val="1002"/>
        </w:numPr>
        <w:pStyle w:val="Compact"/>
      </w:pPr>
      <w:r>
        <w:t xml:space="preserve">To map Berlin-specific linguistic barriers across 5 key sectors (healthcare, asylum administration, education, social services, and municipal governance).</w:t>
      </w:r>
    </w:p>
    <w:p>
      <w:pPr>
        <w:numPr>
          <w:ilvl w:val="0"/>
          <w:numId w:val="1002"/>
        </w:numPr>
        <w:pStyle w:val="Compact"/>
      </w:pPr>
      <w:r>
        <w:t xml:space="preserve">To co-design a modular service framework integrating digital tools with human expertise for the Berlin context.</w:t>
      </w:r>
    </w:p>
    <w:p>
      <w:pPr>
        <w:numPr>
          <w:ilvl w:val="0"/>
          <w:numId w:val="1002"/>
        </w:numPr>
        <w:pStyle w:val="Compact"/>
      </w:pPr>
      <w:r>
        <w:t xml:space="preserve">To propose policy amendments to Germany’s federal legal structure that empower city-level adaptation of</w:t>
      </w:r>
      <w:r>
        <w:t xml:space="preserve"> </w:t>
      </w:r>
      <w:r>
        <w:rPr>
          <w:iCs/>
          <w:i/>
        </w:rPr>
        <w:t xml:space="preserve">Translator Interpreter</w:t>
      </w:r>
      <w:r>
        <w:t xml:space="preserve"> </w:t>
      </w:r>
      <w:r>
        <w:t xml:space="preserve">standards.</w:t>
      </w:r>
    </w:p>
    <w:p>
      <w:pPr>
        <w:pStyle w:val="FirstParagraph"/>
      </w:pPr>
      <w:r>
        <w:t xml:space="preserve">Central research questions include:</w:t>
      </w:r>
    </w:p>
    <w:p>
      <w:pPr>
        <w:numPr>
          <w:ilvl w:val="0"/>
          <w:numId w:val="1003"/>
        </w:numPr>
        <w:pStyle w:val="Compact"/>
      </w:pPr>
      <w:r>
        <w:t xml:space="preserve">How do Berlin-specific demographic shifts (e.g., Syrian, Afghan, or Romanian communities) impact the efficacy of standardized translation services?</w:t>
      </w:r>
    </w:p>
    <w:p>
      <w:pPr>
        <w:numPr>
          <w:ilvl w:val="0"/>
          <w:numId w:val="1003"/>
        </w:numPr>
        <w:pStyle w:val="Compact"/>
      </w:pPr>
      <w:r>
        <w:t xml:space="preserve">What digital infrastructure (e.g., AI-assisted tools for emergency interpretation) could augment—but not replace—human</w:t>
      </w:r>
      <w:r>
        <w:t xml:space="preserve"> </w:t>
      </w:r>
      <w:r>
        <w:rPr>
          <w:iCs/>
          <w:i/>
        </w:rPr>
        <w:t xml:space="preserve">Translator Interpreter</w:t>
      </w:r>
      <w:r>
        <w:t xml:space="preserve"> </w:t>
      </w:r>
      <w:r>
        <w:t xml:space="preserve">roles in Germany Berlin?</w:t>
      </w:r>
    </w:p>
    <w:p>
      <w:pPr>
        <w:numPr>
          <w:ilvl w:val="0"/>
          <w:numId w:val="1003"/>
        </w:numPr>
        <w:pStyle w:val="Compact"/>
      </w:pPr>
      <w:r>
        <w:t xml:space="preserve">To what extent must training curricula for translators and interpreters be localized to reflect Berlin’s sociolinguistic landscape?</w:t>
      </w:r>
    </w:p>
    <w:bookmarkEnd w:id="23"/>
    <w:bookmarkStart w:id="24" w:name="Xae0db38a7c0ea7e51951aad6f6c7279fa24be82"/>
    <w:p>
      <w:pPr>
        <w:pStyle w:val="Heading2"/>
      </w:pPr>
      <w:r>
        <w:t xml:space="preserve">4. Methodology: Mixed-Methods Approach for Contextual Validity</w:t>
      </w:r>
    </w:p>
    <w:p>
      <w:pPr>
        <w:pStyle w:val="FirstParagraph"/>
      </w:pPr>
      <w:r>
        <w:t xml:space="preserve">The Thesis Proposal employs a rigorous mixed-methods design grounded in Berlin’s reality:</w:t>
      </w:r>
    </w:p>
    <w:p>
      <w:pPr>
        <w:numPr>
          <w:ilvl w:val="0"/>
          <w:numId w:val="1004"/>
        </w:numPr>
        <w:pStyle w:val="Compact"/>
      </w:pPr>
      <w:r>
        <w:rPr>
          <w:bCs/>
          <w:b/>
        </w:rPr>
        <w:t xml:space="preserve">Qualitative Phase:</w:t>
      </w:r>
      <w:r>
        <w:t xml:space="preserve"> </w:t>
      </w:r>
      <w:r>
        <w:t xml:space="preserve">Ethnographic observation across 10 Berlin institutions (e.g., Flüchtlingshilfe e.V., Charité Hospital, Bezirksämter) with 40+ semistructured interviews involving</w:t>
      </w:r>
      <w:r>
        <w:t xml:space="preserve"> </w:t>
      </w:r>
      <w:r>
        <w:rPr>
          <w:iCs/>
          <w:i/>
        </w:rPr>
        <w:t xml:space="preserve">Translator Interpreter</w:t>
      </w:r>
      <w:r>
        <w:t xml:space="preserve">s, migrants, and administrators.</w:t>
      </w:r>
    </w:p>
    <w:p>
      <w:pPr>
        <w:numPr>
          <w:ilvl w:val="0"/>
          <w:numId w:val="1004"/>
        </w:numPr>
        <w:pStyle w:val="Compact"/>
      </w:pPr>
      <w:r>
        <w:rPr>
          <w:bCs/>
          <w:b/>
        </w:rPr>
        <w:t xml:space="preserve">Quantitative Phase:</w:t>
      </w:r>
      <w:r>
        <w:t xml:space="preserve"> </w:t>
      </w:r>
      <w:r>
        <w:t xml:space="preserve">Surveys of 500+ service users (via Berlin’s citizen portals) analyzing communication breakdowns by language group and service type.</w:t>
      </w:r>
    </w:p>
    <w:p>
      <w:pPr>
        <w:numPr>
          <w:ilvl w:val="0"/>
          <w:numId w:val="1004"/>
        </w:numPr>
        <w:pStyle w:val="Compact"/>
      </w:pPr>
      <w:r>
        <w:rPr>
          <w:bCs/>
          <w:b/>
        </w:rPr>
        <w:t xml:space="preserve">Co-Creation Workshops:</w:t>
      </w:r>
      <w:r>
        <w:t xml:space="preserve"> </w:t>
      </w:r>
      <w:r>
        <w:t xml:space="preserve">Collaborative sessions with the Berlin Interpreters’ Association (B.I.A.) and the Senate Department for Integration to prototype solutions.</w:t>
      </w:r>
    </w:p>
    <w:p>
      <w:pPr>
        <w:pStyle w:val="FirstParagraph"/>
      </w:pPr>
      <w:r>
        <w:t xml:space="preserve">All data collection will comply with GDPR and German research ethics standards. The methodology ensures findings are actionable within Germany’s federal framework while centering Berlin as the primary case study.</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threefold impact for Germany Berlin:</w:t>
      </w:r>
    </w:p>
    <w:p>
      <w:pPr>
        <w:numPr>
          <w:ilvl w:val="0"/>
          <w:numId w:val="1005"/>
        </w:numPr>
        <w:pStyle w:val="Compact"/>
      </w:pPr>
      <w:r>
        <w:rPr>
          <w:bCs/>
          <w:b/>
        </w:rPr>
        <w:t xml:space="preserve">Practical:</w:t>
      </w:r>
      <w:r>
        <w:t xml:space="preserve"> </w:t>
      </w:r>
      <w:r>
        <w:t xml:space="preserve">A deployable service protocol for city institutions, featuring a Berlin-specific glossary of terms (e.g., "Sozialhilfe" vs. "Hilfsmittel") and emergency interpreter networks.</w:t>
      </w:r>
    </w:p>
    <w:p>
      <w:pPr>
        <w:numPr>
          <w:ilvl w:val="0"/>
          <w:numId w:val="1005"/>
        </w:numPr>
        <w:pStyle w:val="Compact"/>
      </w:pPr>
      <w:r>
        <w:rPr>
          <w:bCs/>
          <w:b/>
        </w:rPr>
        <w:t xml:space="preserve">Academic:</w:t>
      </w:r>
      <w:r>
        <w:t xml:space="preserve"> </w:t>
      </w:r>
      <w:r>
        <w:t xml:space="preserve">A theoretical model bridging translation studies with urban policy—challenging the "one-size-fits-all" approach prevalent in German academia.</w:t>
      </w:r>
    </w:p>
    <w:p>
      <w:pPr>
        <w:numPr>
          <w:ilvl w:val="0"/>
          <w:numId w:val="1005"/>
        </w:numPr>
        <w:pStyle w:val="Compact"/>
      </w:pPr>
      <w:r>
        <w:rPr>
          <w:bCs/>
          <w:b/>
        </w:rPr>
        <w:t xml:space="preserve">Policy:</w:t>
      </w:r>
      <w:r>
        <w:t xml:space="preserve"> </w:t>
      </w:r>
      <w:r>
        <w:t xml:space="preserve">Recommendations for amending Germany’s federal Dolmetschgesetz to include city-specific adaptation clauses, setting a precedent for other German metropolises (e.g., Cologne, Hamburg).</w:t>
      </w:r>
    </w:p>
    <w:p>
      <w:pPr>
        <w:pStyle w:val="FirstParagraph"/>
      </w:pPr>
      <w:r>
        <w:t xml:space="preserve">By centering the</w:t>
      </w:r>
      <w:r>
        <w:t xml:space="preserve"> </w:t>
      </w:r>
      <w:r>
        <w:rPr>
          <w:iCs/>
          <w:i/>
        </w:rPr>
        <w:t xml:space="preserve">Translator Interpreter</w:t>
      </w:r>
      <w:r>
        <w:t xml:space="preserve"> </w:t>
      </w:r>
      <w:r>
        <w:t xml:space="preserve">as a pivotal actor in Berlin’s social infrastructure, this research directly aligns with Germany’s National Integration Strategy 2030 and Berlin’s own "Linguistic Inclusion Plan." The Thesis Proposal thus moves beyond documenting problems to crafting solutions rooted in the city where language barriers most acutely impact lives.</w:t>
      </w:r>
    </w:p>
    <w:bookmarkEnd w:id="25"/>
    <w:bookmarkStart w:id="26" w:name="X23034062ab21264ef5d41b44194a84b676f1684"/>
    <w:p>
      <w:pPr>
        <w:pStyle w:val="Heading2"/>
      </w:pPr>
      <w:r>
        <w:t xml:space="preserve">6. Conclusion: Towards a Linguistically Equitable Berlin</w:t>
      </w:r>
    </w:p>
    <w:p>
      <w:pPr>
        <w:pStyle w:val="FirstParagraph"/>
      </w:pPr>
      <w:r>
        <w:t xml:space="preserve">As Germany Berlin evolves into an emblem of post-migrant urbanism, the role of the</w:t>
      </w:r>
      <w:r>
        <w:t xml:space="preserve"> </w:t>
      </w:r>
      <w:r>
        <w:rPr>
          <w:iCs/>
          <w:i/>
        </w:rPr>
        <w:t xml:space="preserve">Translator Interpreter</w:t>
      </w:r>
      <w:r>
        <w:t xml:space="preserve"> </w:t>
      </w:r>
      <w:r>
        <w:t xml:space="preserve">must evolve with it. This Thesis Proposal is not merely an academic exercise—it is a roadmap for transforming language services from reactive necessities into proactive engines of inclusion. By embedding Berlin’s unique sociolinguistic reality at the heart of research design, this project will deliver actionable insights that elevate service quality while respecting linguistic diversity. In doing so, it affirms that in Germany Berlin, communication is not a technical task but the very bedrock of democratic participation. The successful implementation of this framework will position Berlin as a global benchmark for equitable language mediation within European capital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Translator Interpreter Services for Germany Berlin</dc:title>
  <dc:creator/>
  <dc:language>en</dc:language>
  <cp:keywords/>
  <dcterms:created xsi:type="dcterms:W3CDTF">2026-07-14T05:27:11Z</dcterms:created>
  <dcterms:modified xsi:type="dcterms:W3CDTF">2026-07-14T05:27:11Z</dcterms:modified>
</cp:coreProperties>
</file>

<file path=docProps/custom.xml><?xml version="1.0" encoding="utf-8"?>
<Properties xmlns="http://schemas.openxmlformats.org/officeDocument/2006/custom-properties" xmlns:vt="http://schemas.openxmlformats.org/officeDocument/2006/docPropsVTypes"/>
</file>