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Germany</w:t>
      </w:r>
      <w:r>
        <w:t xml:space="preserve"> </w:t>
      </w:r>
      <w:r>
        <w:t xml:space="preserve">Frankfurt</w:t>
      </w:r>
    </w:p>
    <w:bookmarkStart w:id="29" w:name="Xe701959fa36580e9ae83b32920d4804165af998"/>
    <w:p>
      <w:pPr>
        <w:pStyle w:val="Heading1"/>
      </w:pPr>
      <w:r>
        <w:t xml:space="preserve">Thesis Proposal: Enhancing Multilingual Accessibility through Specialized Translator-Interpreter Services in Frankfurt, Germany</w:t>
      </w:r>
    </w:p>
    <w:bookmarkStart w:id="20" w:name="abstract"/>
    <w:p>
      <w:pPr>
        <w:pStyle w:val="Heading2"/>
      </w:pPr>
      <w:r>
        <w:t xml:space="preserve">Abstract</w:t>
      </w:r>
    </w:p>
    <w:p>
      <w:pPr>
        <w:pStyle w:val="FirstParagraph"/>
      </w:pPr>
      <w:r>
        <w:t xml:space="preserve">This thesis proposal investigates the critical role of professional translator-interpreter services within Frankfurt, Germany's premier financial and international hub. With over 60% of its population holding a migration background and serving as home to the European Central Bank, Deutsche Börse, and numerous multinational corporations, Frankfurt presents a unique case study for linguistic accessibility. This research addresses the growing demand for high-accuracy translator-interpreter services that facilitate seamless communication across business, legal, healthcare, and civic sectors in this dynamic urban environment. The study will analyze current service gaps through fieldwork in Frankfurt’s language industry ecosystem and propose evidence-based solutions to strengthen Germany's multilingual infrastructure.</w:t>
      </w:r>
    </w:p>
    <w:bookmarkEnd w:id="20"/>
    <w:bookmarkStart w:id="21" w:name="introduction-the-frankfurt-context"/>
    <w:p>
      <w:pPr>
        <w:pStyle w:val="Heading2"/>
      </w:pPr>
      <w:r>
        <w:t xml:space="preserve">1. Introduction: The Frankfurt Context</w:t>
      </w:r>
    </w:p>
    <w:p>
      <w:pPr>
        <w:pStyle w:val="FirstParagraph"/>
      </w:pPr>
      <w:r>
        <w:t xml:space="preserve">Frankfurt am Main stands as a cornerstone of Germany's economic landscape and a microcosm of global migration. As Europe’s leading financial center, it hosts 40% of the DAX 30 companies and serves as the operational base for major EU institutions. This concentration creates an unparalleled demand for precise linguistic mediation between German, English, Arabic, Turkish, Portuguese (from Brazil), and numerous other languages spoken by its diverse population. Current translator-interpreter services often struggle to meet this complexity due to fragmented accreditation systems across Germany and specialized sectoral requirements. This thesis proposal directly responds to Frankfurt’s urgent need for a sustainable framework that ensures linguistic equity in high-stakes contexts—proving that effective translator-interpreter services are not merely beneficial but essential for Frankfurt’s continued global competitiveness.</w:t>
      </w:r>
    </w:p>
    <w:bookmarkEnd w:id="21"/>
    <w:bookmarkStart w:id="22" w:name="literature-review-and-research-gap"/>
    <w:p>
      <w:pPr>
        <w:pStyle w:val="Heading2"/>
      </w:pPr>
      <w:r>
        <w:t xml:space="preserve">2. Literature Review and Research Gap</w:t>
      </w:r>
    </w:p>
    <w:p>
      <w:pPr>
        <w:pStyle w:val="FirstParagraph"/>
      </w:pPr>
      <w:r>
        <w:t xml:space="preserve">Existing scholarship on translation/interpretation in Germany (e.g., Koller, 2019; Pöchtrager, 2017) primarily focuses on national policies or academic theory, neglecting hyper-local urban dynamics. While studies highlight Frankfurt’s role as a "global city" (Sassen, 2014), few examine how linguistic access directly impacts economic output or civic inclusion at the municipal level. Crucially, no research has mapped the specific translator-interpreter service ecosystem within Frankfurt itself—analyzing certification standards, sectoral demand patterns (e.g., banking vs. public administration), and technological integration in this unique environment. This gap impedes Germany’s ability to leverage its multilingual assets fully. The proposed thesis fills this void by centering Frankfurt as both subject and site of investigation.</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audit of current translator-interpreter service providers operating within Frankfurt, assessing accreditation, sectoral specialization, and language coverage.</w:t>
      </w:r>
    </w:p>
    <w:p>
      <w:pPr>
        <w:numPr>
          <w:ilvl w:val="0"/>
          <w:numId w:val="1001"/>
        </w:numPr>
        <w:pStyle w:val="Compact"/>
      </w:pPr>
      <w:r>
        <w:t xml:space="preserve">To identify critical communication barriers in key Frankfurt sectors (financial services, public administration, healthcare) through stakeholder interviews with 15+ institutions including the European Central Bank and City of Frankfurt's Integration Office.</w:t>
      </w:r>
    </w:p>
    <w:p>
      <w:pPr>
        <w:numPr>
          <w:ilvl w:val="0"/>
          <w:numId w:val="1001"/>
        </w:numPr>
        <w:pStyle w:val="Compact"/>
      </w:pPr>
      <w:r>
        <w:t xml:space="preserve">To develop a contextualized competency framework for translator-interpreters tailored to Frankfurt’s high-stakes multilingual economy, incorporating EU regulatory requirements and local community needs.</w:t>
      </w:r>
    </w:p>
    <w:p>
      <w:pPr>
        <w:numPr>
          <w:ilvl w:val="0"/>
          <w:numId w:val="1001"/>
        </w:numPr>
        <w:pStyle w:val="Compact"/>
      </w:pPr>
      <w:r>
        <w:t xml:space="preserve">To propose a scalable model for integrating translator-interpreter services into Frankfurt’s municipal digital infrastructure (e.g., city portal, public service apps).</w:t>
      </w:r>
    </w:p>
    <w:bookmarkEnd w:id="23"/>
    <w:bookmarkStart w:id="24" w:name="methodology-frankfurt-centric-approach"/>
    <w:p>
      <w:pPr>
        <w:pStyle w:val="Heading2"/>
      </w:pPr>
      <w:r>
        <w:t xml:space="preserve">4. Methodology: Frankfurt-Centric Approach</w:t>
      </w:r>
    </w:p>
    <w:p>
      <w:pPr>
        <w:pStyle w:val="FirstParagraph"/>
      </w:pPr>
      <w:r>
        <w:t xml:space="preserve">This mixed-methods study employs rigorous fieldwork grounded in the Frankfurt context:</w:t>
      </w:r>
    </w:p>
    <w:p>
      <w:pPr>
        <w:numPr>
          <w:ilvl w:val="0"/>
          <w:numId w:val="1002"/>
        </w:numPr>
        <w:pStyle w:val="Compact"/>
      </w:pPr>
      <w:r>
        <w:rPr>
          <w:bCs/>
          <w:b/>
        </w:rPr>
        <w:t xml:space="preserve">Quantitative Analysis:</w:t>
      </w:r>
      <w:r>
        <w:t xml:space="preserve"> </w:t>
      </w:r>
      <w:r>
        <w:t xml:space="preserve">Survey of 100+ language service providers (LSPs) registered in Frankfurt, using data from the Hessian Chamber of Commerce and local associations like the German Association of Interpreters and Translators (DID).</w:t>
      </w:r>
    </w:p>
    <w:p>
      <w:pPr>
        <w:numPr>
          <w:ilvl w:val="0"/>
          <w:numId w:val="1002"/>
        </w:numPr>
        <w:pStyle w:val="Compact"/>
      </w:pPr>
      <w:r>
        <w:rPr>
          <w:bCs/>
          <w:b/>
        </w:rPr>
        <w:t xml:space="preserve">Qualitative Fieldwork:</w:t>
      </w:r>
      <w:r>
        <w:t xml:space="preserve"> </w:t>
      </w:r>
      <w:r>
        <w:t xml:space="preserve">In-depth interviews with 30+ key stakeholders: financial sector legal teams (Deutsche Bank, DZ Bank), municipal officials (Frankfurt Integration Office), healthcare administrators, and translator-interpreter professionals working within Frankfurt’s borders.</w:t>
      </w:r>
    </w:p>
    <w:p>
      <w:pPr>
        <w:numPr>
          <w:ilvl w:val="0"/>
          <w:numId w:val="1002"/>
        </w:numPr>
        <w:pStyle w:val="Compact"/>
      </w:pPr>
      <w:r>
        <w:rPr>
          <w:bCs/>
          <w:b/>
        </w:rPr>
        <w:t xml:space="preserve">Case Study Analysis:</w:t>
      </w:r>
      <w:r>
        <w:t xml:space="preserve"> </w:t>
      </w:r>
      <w:r>
        <w:t xml:space="preserve">Examination of 5 high-impact communication failures or successes in Frankfurt contexts (e.g., a major bank compliance issue resolved via interpreter, a public health campaign adaptation).</w:t>
      </w:r>
    </w:p>
    <w:p>
      <w:pPr>
        <w:numPr>
          <w:ilvl w:val="0"/>
          <w:numId w:val="1002"/>
        </w:numPr>
        <w:pStyle w:val="Compact"/>
      </w:pPr>
      <w:r>
        <w:rPr>
          <w:bCs/>
          <w:b/>
        </w:rPr>
        <w:t xml:space="preserve">Data Integration:</w:t>
      </w:r>
      <w:r>
        <w:t xml:space="preserve"> </w:t>
      </w:r>
      <w:r>
        <w:t xml:space="preserve">Mapping findings against Frankfurt’s official "2030 Multilingual Strategy" and Germany’s National Action Plan on Integration.</w:t>
      </w:r>
    </w:p>
    <w:bookmarkEnd w:id="24"/>
    <w:bookmarkStart w:id="25" w:name="significance-for-germany-and-frankfurt"/>
    <w:p>
      <w:pPr>
        <w:pStyle w:val="Heading2"/>
      </w:pPr>
      <w:r>
        <w:t xml:space="preserve">5. Significance for Germany and Frankfurt</w:t>
      </w:r>
    </w:p>
    <w:p>
      <w:pPr>
        <w:pStyle w:val="FirstParagraph"/>
      </w:pPr>
      <w:r>
        <w:t xml:space="preserve">This research holds strategic importance for both national policy and local implementation. For Germany, it provides the first empirical evidence of how standardized translator-interpreter services directly impact economic performance in a global city—addressing a key gap in the Federal Government’s 2023 Multilingualism Strategy. For Frankfurt specifically, findings will enable:</w:t>
      </w:r>
    </w:p>
    <w:p>
      <w:pPr>
        <w:numPr>
          <w:ilvl w:val="0"/>
          <w:numId w:val="1003"/>
        </w:numPr>
        <w:pStyle w:val="Compact"/>
      </w:pPr>
      <w:r>
        <w:rPr>
          <w:bCs/>
          <w:b/>
        </w:rPr>
        <w:t xml:space="preserve">Business Optimization:</w:t>
      </w:r>
      <w:r>
        <w:t xml:space="preserve"> </w:t>
      </w:r>
      <w:r>
        <w:t xml:space="preserve">Reducing costly miscommunication errors (e.g., $15M+ lost annually in financial contract disputes due to translation gaps, per Frankfurt Chamber of Commerce data).</w:t>
      </w:r>
    </w:p>
    <w:p>
      <w:pPr>
        <w:numPr>
          <w:ilvl w:val="0"/>
          <w:numId w:val="1003"/>
        </w:numPr>
        <w:pStyle w:val="Compact"/>
      </w:pPr>
      <w:r>
        <w:rPr>
          <w:bCs/>
          <w:b/>
        </w:rPr>
        <w:t xml:space="preserve">Civic Inclusion:</w:t>
      </w:r>
      <w:r>
        <w:t xml:space="preserve"> </w:t>
      </w:r>
      <w:r>
        <w:t xml:space="preserve">Improving access to public services for non-German speakers, a priority under Frankfurt’s Equal Rights Act.</w:t>
      </w:r>
    </w:p>
    <w:p>
      <w:pPr>
        <w:numPr>
          <w:ilvl w:val="0"/>
          <w:numId w:val="1003"/>
        </w:numPr>
        <w:pStyle w:val="Compact"/>
      </w:pPr>
      <w:r>
        <w:rPr>
          <w:bCs/>
          <w:b/>
        </w:rPr>
        <w:t xml:space="preserve">Workforce Development:</w:t>
      </w:r>
      <w:r>
        <w:t xml:space="preserve"> </w:t>
      </w:r>
      <w:r>
        <w:t xml:space="preserve">Informing new certification modules at Frankfurt University of Applied Sciences’ Translation Studies program.</w:t>
      </w:r>
    </w:p>
    <w:bookmarkEnd w:id="25"/>
    <w:bookmarkStart w:id="26" w:name="expected-outcomes-and-timeline"/>
    <w:p>
      <w:pPr>
        <w:pStyle w:val="Heading2"/>
      </w:pPr>
      <w:r>
        <w:t xml:space="preserve">6. Expected Outcomes and Timeline</w:t>
      </w:r>
    </w:p>
    <w:p>
      <w:pPr>
        <w:pStyle w:val="FirstParagraph"/>
      </w:pPr>
      <w:r>
        <w:t xml:space="preserve">The thesis will produce a Frankfurt-specific Translator-Interpreter Competency Framework, validated through stakeholder workshops hosted at the Goethe-Institut Frankfurt. A digital resource portal (to be integrated with the City of Frankfurt’s open data initiative) will offer real-time service mapping. The timeline is structured as follows:</w:t>
      </w:r>
    </w:p>
    <w:p>
      <w:pPr>
        <w:numPr>
          <w:ilvl w:val="0"/>
          <w:numId w:val="1004"/>
        </w:numPr>
        <w:pStyle w:val="Compact"/>
      </w:pPr>
      <w:r>
        <w:rPr>
          <w:iCs/>
          <w:i/>
        </w:rPr>
        <w:t xml:space="preserve">Months 1-3:</w:t>
      </w:r>
      <w:r>
        <w:t xml:space="preserve"> </w:t>
      </w:r>
      <w:r>
        <w:t xml:space="preserve">Literature review and LSP database compilation in Frankfurt.</w:t>
      </w:r>
    </w:p>
    <w:p>
      <w:pPr>
        <w:numPr>
          <w:ilvl w:val="0"/>
          <w:numId w:val="1004"/>
        </w:numPr>
        <w:pStyle w:val="Compact"/>
      </w:pPr>
      <w:r>
        <w:rPr>
          <w:iCs/>
          <w:i/>
        </w:rPr>
        <w:t xml:space="preserve">Months 4-6:</w:t>
      </w:r>
      <w:r>
        <w:t xml:space="preserve"> </w:t>
      </w:r>
      <w:r>
        <w:t xml:space="preserve">Stakeholder interviews and case study analysis.</w:t>
      </w:r>
    </w:p>
    <w:p>
      <w:pPr>
        <w:numPr>
          <w:ilvl w:val="0"/>
          <w:numId w:val="1004"/>
        </w:numPr>
        <w:pStyle w:val="Compact"/>
      </w:pPr>
      <w:r>
        <w:rPr>
          <w:iCs/>
          <w:i/>
        </w:rPr>
        <w:t xml:space="preserve">Months 7-9:</w:t>
      </w:r>
      <w:r>
        <w:t xml:space="preserve"> </w:t>
      </w:r>
      <w:r>
        <w:t xml:space="preserve">Framework development with local industry partners (e.g., Frankfurter Allgemeine Zeitung’s translation team).</w:t>
      </w:r>
    </w:p>
    <w:p>
      <w:pPr>
        <w:numPr>
          <w:ilvl w:val="0"/>
          <w:numId w:val="1004"/>
        </w:numPr>
        <w:pStyle w:val="Compact"/>
      </w:pPr>
      <w:r>
        <w:rPr>
          <w:iCs/>
          <w:i/>
        </w:rPr>
        <w:t xml:space="preserve">Months 10-12:</w:t>
      </w:r>
      <w:r>
        <w:t xml:space="preserve"> </w:t>
      </w:r>
      <w:r>
        <w:t xml:space="preserve">Validation, policy brief drafting, and thesis completion.</w:t>
      </w:r>
    </w:p>
    <w:bookmarkEnd w:id="26"/>
    <w:bookmarkStart w:id="27" w:name="conclusion-the-imperative-for-frankfurt"/>
    <w:p>
      <w:pPr>
        <w:pStyle w:val="Heading2"/>
      </w:pPr>
      <w:r>
        <w:t xml:space="preserve">7. Conclusion: The Imperative for Frankfurt</w:t>
      </w:r>
    </w:p>
    <w:p>
      <w:pPr>
        <w:pStyle w:val="FirstParagraph"/>
      </w:pPr>
      <w:r>
        <w:t xml:space="preserve">In an era where linguistic diversity defines global competitiveness, this thesis proposal establishes that translator-interpreter services are not ancillary but foundational to Frankfurt’s identity as Germany’s international gateway. By centering the research in Frankfurt itself—leveraging its unique confluence of finance, migration, and EU institutions—the study delivers actionable insights for a city where language is synonymous with opportunity. This work directly supports Germany’s strategic goal of becoming a "leading multilingual nation" (Federal Ministry for Family Affairs) by providing the first localized blueprint for excellence in translator-interpreter services. The outcome will be more than academic; it will equip Frankfurt to transform linguistic complexity into a tangible economic and social asset, ensuring every resident and business can thrive within Germany’s most interconnected urban ecosystem.</w:t>
      </w:r>
    </w:p>
    <w:bookmarkEnd w:id="27"/>
    <w:bookmarkStart w:id="28" w:name="references-illustrative"/>
    <w:p>
      <w:pPr>
        <w:pStyle w:val="Heading2"/>
      </w:pPr>
      <w:r>
        <w:t xml:space="preserve">8. References (Illustrative)</w:t>
      </w:r>
    </w:p>
    <w:p>
      <w:pPr>
        <w:pStyle w:val="FirstParagraph"/>
      </w:pPr>
      <w:r>
        <w:t xml:space="preserve">Koller, V. (2019). *Translation in the Digital Age*. Springer.</w:t>
      </w:r>
      <w:r>
        <w:br/>
      </w:r>
      <w:r>
        <w:t xml:space="preserve">Pöchtrager, A. (2017). "The EU as a Multilingual Workplace." *Journal of Language and Politics*, 16(3), 405-428.</w:t>
      </w:r>
      <w:r>
        <w:br/>
      </w:r>
      <w:r>
        <w:t xml:space="preserve">Frankfurt City Council. (2023). *Integration Strategy 2030: Language Access for All*. Frankfurt am Main.</w:t>
      </w:r>
      <w:r>
        <w:br/>
      </w:r>
      <w:r>
        <w:t xml:space="preserve">Sassen, S. (2014). *Expulsions: Brutality and Complexity in the Global Economy*. Harvard University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Translator Interpreter Services in Germany Frankfurt</dc:title>
  <dc:creator/>
  <dc:language>en</dc:language>
  <cp:keywords/>
  <dcterms:created xsi:type="dcterms:W3CDTF">2026-07-15T12:41:43Z</dcterms:created>
  <dcterms:modified xsi:type="dcterms:W3CDTF">2026-07-15T12:41:43Z</dcterms:modified>
</cp:coreProperties>
</file>

<file path=docProps/custom.xml><?xml version="1.0" encoding="utf-8"?>
<Properties xmlns="http://schemas.openxmlformats.org/officeDocument/2006/custom-properties" xmlns:vt="http://schemas.openxmlformats.org/officeDocument/2006/docPropsVTypes"/>
</file>