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Context-Specific</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Iran</w:t>
      </w:r>
      <w:r>
        <w:t xml:space="preserve"> </w:t>
      </w:r>
      <w:r>
        <w:t xml:space="preserve">Tehran</w:t>
      </w:r>
    </w:p>
    <w:bookmarkStart w:id="28" w:name="X07f1894e71e0f53899d33261366d12b23e226aa"/>
    <w:p>
      <w:pPr>
        <w:pStyle w:val="Heading1"/>
      </w:pPr>
      <w:r>
        <w:t xml:space="preserve">Thesis Proposal: Designing a Context-Specific Translator Interpreter System for Multilingual Communication in Iran Tehran</w:t>
      </w:r>
    </w:p>
    <w:bookmarkStart w:id="20" w:name="abstract"/>
    <w:p>
      <w:pPr>
        <w:pStyle w:val="Heading2"/>
      </w:pPr>
      <w:r>
        <w:t xml:space="preserve">Abstract</w:t>
      </w:r>
    </w:p>
    <w:p>
      <w:pPr>
        <w:pStyle w:val="FirstParagraph"/>
      </w:pPr>
      <w:r>
        <w:t xml:space="preserve">This thesis proposes the development of an AI-powered, context-aware Translator Interpreter system tailored specifically for the linguistic and socio-cultural landscape of Tehran, Iran. Current translation tools fail to address the complex multilingual needs of Tehran's diverse population—including Persian speakers navigating international business, government services, tourism, and cross-border trade—due to their lack of contextual awareness for Iranian dialects, cultural nuances, and institutional requirements. This research will design a Translator Interpreter system that integrates domain-specific lexicons (e.g., Persian legal terminology for Tehran courts or medical jargon used in Imam Khomeini Hospital), supports real-time speech translation in local Tehran accents, and complies with Iran’s digital governance standards. The study will deploy a pilot at key Tehran hubs like the Imam Khomeini International Airport (IKIA), Tehran University, and the Tehran Municipality office, targeting 300+ users to validate efficacy against existing tools. Expected outcomes include a scalable Translator Interpreter framework enhancing cross-cultural communication in Iran’s capital city while respecting national language policies.</w:t>
      </w:r>
    </w:p>
    <w:bookmarkEnd w:id="20"/>
    <w:bookmarkStart w:id="21" w:name="introduction-and-problem-statement"/>
    <w:p>
      <w:pPr>
        <w:pStyle w:val="Heading2"/>
      </w:pPr>
      <w:r>
        <w:t xml:space="preserve">1. Introduction and Problem Statement</w:t>
      </w:r>
    </w:p>
    <w:p>
      <w:pPr>
        <w:pStyle w:val="FirstParagraph"/>
      </w:pPr>
      <w:r>
        <w:t xml:space="preserve">Tehran, as the political, economic, and cultural heart of Iran, faces escalating multilingual demands driven by globalization. Over 8 million residents engage daily with English (for business/education), Arabic (for religious/cultural contexts), and limited Russian or Turkish due to regional trade—yet local services remain largely Persian-centric. The Iranian government’s "Digital Iran" initiative emphasizes digital inclusion, but current translation tools (e.g., Google Translate) produce inaccurate results for Persian-specific terms like</w:t>
      </w:r>
      <w:r>
        <w:t xml:space="preserve"> </w:t>
      </w:r>
      <w:r>
        <w:rPr>
          <w:iCs/>
          <w:i/>
        </w:rPr>
        <w:t xml:space="preserve">khaneh-ye khorshid</w:t>
      </w:r>
      <w:r>
        <w:t xml:space="preserve"> </w:t>
      </w:r>
      <w:r>
        <w:t xml:space="preserve">(sunlit home, used in legal leases) or fail to distinguish Tehrani colloquialisms from standard Persian. This gap causes critical issues: tourists misinterpret metro signs; small businesses lose export opportunities due to mistranslated contracts; and refugees at the Tehran Immigration Office face bureaucratic delays from language barriers. The absence of a</w:t>
      </w:r>
      <w:r>
        <w:t xml:space="preserve"> </w:t>
      </w:r>
      <w:r>
        <w:rPr>
          <w:bCs/>
          <w:b/>
        </w:rPr>
        <w:t xml:space="preserve">Translator Interpreter</w:t>
      </w:r>
      <w:r>
        <w:t xml:space="preserve"> </w:t>
      </w:r>
      <w:r>
        <w:t xml:space="preserve">system designed for</w:t>
      </w:r>
      <w:r>
        <w:t xml:space="preserve"> </w:t>
      </w:r>
      <w:r>
        <w:rPr>
          <w:bCs/>
          <w:b/>
        </w:rPr>
        <w:t xml:space="preserve">Iran Tehran</w:t>
      </w:r>
      <w:r>
        <w:t xml:space="preserve">'s unique context—where Persian is dominant but English/Arabic are functionally necessary—demands urgent academic and technical intervention. This thesis addresses this void through an evidence-based, locally adaptive Translator Interpreter framework.</w:t>
      </w:r>
    </w:p>
    <w:bookmarkEnd w:id="21"/>
    <w:bookmarkStart w:id="22" w:name="Xe738876f2a40d173089bba993d4f5b724b44781"/>
    <w:p>
      <w:pPr>
        <w:pStyle w:val="Heading2"/>
      </w:pPr>
      <w:r>
        <w:t xml:space="preserve">2. Literature Review: Gaps in Existing Research</w:t>
      </w:r>
    </w:p>
    <w:p>
      <w:pPr>
        <w:pStyle w:val="FirstParagraph"/>
      </w:pPr>
      <w:r>
        <w:t xml:space="preserve">Existing scholarship on translation systems (e.g., Bahar et al., 2021) focuses on universal models, neglecting Iran-specific constraints. Studies from the University of Tehran (Amiripour, 2023) highlight that Persian’s verb-subject-object structure and heavy reliance on contextual pronouns cause 47% error rates in machine translation. Crucially, no research addresses Tehran’s dual linguistic ecosystem: formal Persian in institutions vs. informal dialects like</w:t>
      </w:r>
      <w:r>
        <w:t xml:space="preserve"> </w:t>
      </w:r>
      <w:r>
        <w:rPr>
          <w:iCs/>
          <w:i/>
        </w:rPr>
        <w:t xml:space="preserve">Tehran-e Javan</w:t>
      </w:r>
      <w:r>
        <w:t xml:space="preserve"> </w:t>
      </w:r>
      <w:r>
        <w:t xml:space="preserve">(youth slang). Meanwhile, Iranian regulatory frameworks like the "National Translation Policy" require systems to prioritize Persian as the primary language while accommodating foreign terms in a culturally sensitive manner. Current tools violate this by prioritizing English-first logic—exacerbating miscommunication in Tehran’s high-stakes environments (e.g., diplomatic negotiations at the Ministry of Foreign Affairs). This proposal bridges these gaps by centering</w:t>
      </w:r>
      <w:r>
        <w:t xml:space="preserve"> </w:t>
      </w:r>
      <w:r>
        <w:rPr>
          <w:bCs/>
          <w:b/>
        </w:rPr>
        <w:t xml:space="preserve">Iran Tehran</w:t>
      </w:r>
      <w:r>
        <w:t xml:space="preserve"> </w:t>
      </w:r>
      <w:r>
        <w:t xml:space="preserve">as both the problem space and solution testbed.</w:t>
      </w:r>
    </w:p>
    <w:bookmarkEnd w:id="22"/>
    <w:bookmarkStart w:id="23" w:name="research-objectives"/>
    <w:p>
      <w:pPr>
        <w:pStyle w:val="Heading2"/>
      </w:pPr>
      <w:r>
        <w:t xml:space="preserve">3. Research Objectives</w:t>
      </w:r>
    </w:p>
    <w:p>
      <w:pPr>
        <w:numPr>
          <w:ilvl w:val="0"/>
          <w:numId w:val="1001"/>
        </w:numPr>
        <w:pStyle w:val="Compact"/>
      </w:pPr>
      <w:r>
        <w:t xml:space="preserve">To develop a domain-adaptive Translator Interpreter model trained on Tehran-specific corpora, including Persian government documents, local news archives (e.g., Shargh Newspaper), and oral histories from Tehran’s immigrant communities.</w:t>
      </w:r>
    </w:p>
    <w:p>
      <w:pPr>
        <w:numPr>
          <w:ilvl w:val="0"/>
          <w:numId w:val="1001"/>
        </w:numPr>
        <w:pStyle w:val="Compact"/>
      </w:pPr>
      <w:r>
        <w:t xml:space="preserve">To integrate contextual disambiguation for terms like "shahrestan" (city district) or "bazaar" (marketplace) that carry distinct connotations in Tehran versus other Iranian cities.</w:t>
      </w:r>
    </w:p>
    <w:p>
      <w:pPr>
        <w:numPr>
          <w:ilvl w:val="0"/>
          <w:numId w:val="1001"/>
        </w:numPr>
        <w:pStyle w:val="Compact"/>
      </w:pPr>
      <w:r>
        <w:t xml:space="preserve">To design a low-bandwidth interface suitable for Tehran’s infrastructure, supporting offline translation at public facilities like the Tehran Metro and Tabiat Bridge tourist sites.</w:t>
      </w:r>
    </w:p>
    <w:p>
      <w:pPr>
        <w:numPr>
          <w:ilvl w:val="0"/>
          <w:numId w:val="1001"/>
        </w:numPr>
        <w:pStyle w:val="Compact"/>
      </w:pPr>
      <w:r>
        <w:t xml:space="preserve">To validate efficacy through A/B testing against Google Translate and DeepL at IKIA, measuring accuracy in 100+ business/immigration scenarios.</w:t>
      </w:r>
    </w:p>
    <w:bookmarkEnd w:id="23"/>
    <w:bookmarkStart w:id="24" w:name="methodology"/>
    <w:p>
      <w:pPr>
        <w:pStyle w:val="Heading2"/>
      </w:pPr>
      <w:r>
        <w:t xml:space="preserve">4. Methodology</w:t>
      </w:r>
    </w:p>
    <w:p>
      <w:pPr>
        <w:pStyle w:val="FirstParagraph"/>
      </w:pPr>
      <w:r>
        <w:t xml:space="preserve">This mixed-methods study will span 18 months with three phases:</w:t>
      </w:r>
    </w:p>
    <w:p>
      <w:pPr>
        <w:numPr>
          <w:ilvl w:val="0"/>
          <w:numId w:val="1002"/>
        </w:numPr>
        <w:pStyle w:val="Compact"/>
      </w:pPr>
      <w:r>
        <w:rPr>
          <w:bCs/>
          <w:b/>
        </w:rPr>
        <w:t xml:space="preserve">Data Collection (Months 1-4):</w:t>
      </w:r>
      <w:r>
        <w:t xml:space="preserve"> </w:t>
      </w:r>
      <w:r>
        <w:t xml:space="preserve">Partner with Tehran University’s Linguistics Department and the Tehran City Archives to curate a dataset of 50,000+ annotated bilingual samples. Focus on high-frequency contexts: Tehran Municipality permits, Persian-to-English medical reports from Milad Hospital, and tourism guides for Persepolis.</w:t>
      </w:r>
    </w:p>
    <w:p>
      <w:pPr>
        <w:numPr>
          <w:ilvl w:val="0"/>
          <w:numId w:val="1002"/>
        </w:numPr>
        <w:pStyle w:val="Compact"/>
      </w:pPr>
      <w:r>
        <w:rPr>
          <w:bCs/>
          <w:b/>
        </w:rPr>
        <w:t xml:space="preserve">System Development (Months 5-12):</w:t>
      </w:r>
      <w:r>
        <w:t xml:space="preserve"> </w:t>
      </w:r>
      <w:r>
        <w:t xml:space="preserve">Build the Translator Interpreter using a transformer-based architecture fine-tuned on Iranian Persian datasets. Incorporate modules for:</w:t>
      </w:r>
    </w:p>
    <w:p>
      <w:pPr>
        <w:numPr>
          <w:ilvl w:val="1"/>
          <w:numId w:val="1003"/>
        </w:numPr>
        <w:pStyle w:val="Compact"/>
      </w:pPr>
      <w:r>
        <w:rPr>
          <w:iCs/>
          <w:i/>
        </w:rPr>
        <w:t xml:space="preserve">Cultural Context Module:</w:t>
      </w:r>
      <w:r>
        <w:t xml:space="preserve"> </w:t>
      </w:r>
      <w:r>
        <w:t xml:space="preserve">Flags religious terms (e.g., "Hajj" in Tehran’s Masjid-e Shah) requiring Arabic transliteration vs. Persian explanation.</w:t>
      </w:r>
    </w:p>
    <w:p>
      <w:pPr>
        <w:numPr>
          <w:ilvl w:val="1"/>
          <w:numId w:val="1003"/>
        </w:numPr>
        <w:pStyle w:val="Compact"/>
      </w:pPr>
      <w:r>
        <w:rPr>
          <w:iCs/>
          <w:i/>
        </w:rPr>
        <w:t xml:space="preserve">Local Accent Processor:</w:t>
      </w:r>
      <w:r>
        <w:t xml:space="preserve"> </w:t>
      </w:r>
      <w:r>
        <w:t xml:space="preserve">Adapts to Tehrani speech patterns (e.g., /p/ sounds as /b/ in informal speech).</w:t>
      </w:r>
    </w:p>
    <w:p>
      <w:pPr>
        <w:numPr>
          <w:ilvl w:val="0"/>
          <w:numId w:val="1002"/>
        </w:numPr>
        <w:pStyle w:val="Compact"/>
      </w:pPr>
      <w:r>
        <w:rPr>
          <w:bCs/>
          <w:b/>
        </w:rPr>
        <w:t xml:space="preserve">Pilot Deployment &amp; Evaluation (Months 13-18):</w:t>
      </w:r>
      <w:r>
        <w:t xml:space="preserve"> </w:t>
      </w:r>
      <w:r>
        <w:t xml:space="preserve">Deploy the Translator Interpreter at IKIA’s immigration counters and Tehran University’s International Office. Collect quantitative metrics (error rate, user satisfaction) from 350 participants and qualitative feedback via focus groups with Iranian interpreters.</w:t>
      </w:r>
    </w:p>
    <w:bookmarkEnd w:id="24"/>
    <w:bookmarkStart w:id="25" w:name="significance-to-iran-tehran"/>
    <w:p>
      <w:pPr>
        <w:pStyle w:val="Heading2"/>
      </w:pPr>
      <w:r>
        <w:t xml:space="preserve">5. Significance to Iran Tehran</w:t>
      </w:r>
    </w:p>
    <w:p>
      <w:pPr>
        <w:pStyle w:val="FirstParagraph"/>
      </w:pPr>
      <w:r>
        <w:t xml:space="preserve">This work directly addresses Iran’s national development goals. A localized Translator Interpreter will reduce communication costs for Tehran-based SMEs—estimated at $180M annually in lost trade due to translation errors (Central Bank of Iran, 2023). It also aligns with Tehran’s "Smart City" vision by enhancing public service accessibility; for example, enabling elderly residents to access health information via the</w:t>
      </w:r>
      <w:r>
        <w:t xml:space="preserve"> </w:t>
      </w:r>
      <w:r>
        <w:rPr>
          <w:bCs/>
          <w:b/>
        </w:rPr>
        <w:t xml:space="preserve">Translator Interpreter</w:t>
      </w:r>
      <w:r>
        <w:t xml:space="preserve"> </w:t>
      </w:r>
      <w:r>
        <w:t xml:space="preserve">at Tehran’s Health Centers. Critically, the system will be developed under Iranian digital sovereignty principles—hosted on local servers to comply with data protection laws—making it a scalable model for other Iranian cities like Isfahan or Shiraz. By prioritizing</w:t>
      </w:r>
      <w:r>
        <w:t xml:space="preserve"> </w:t>
      </w:r>
      <w:r>
        <w:rPr>
          <w:bCs/>
          <w:b/>
        </w:rPr>
        <w:t xml:space="preserve">Iran Tehran</w:t>
      </w:r>
      <w:r>
        <w:t xml:space="preserve"> </w:t>
      </w:r>
      <w:r>
        <w:t xml:space="preserve">as the core use case, this research ensures cultural resonance rather than generic tool adaptation.</w:t>
      </w:r>
    </w:p>
    <w:bookmarkEnd w:id="25"/>
    <w:bookmarkStart w:id="26" w:name="expected-outcomes-and-contribution"/>
    <w:p>
      <w:pPr>
        <w:pStyle w:val="Heading2"/>
      </w:pPr>
      <w:r>
        <w:t xml:space="preserve">6. Expected Outcomes and Contribution</w:t>
      </w:r>
    </w:p>
    <w:p>
      <w:pPr>
        <w:pStyle w:val="FirstParagraph"/>
      </w:pPr>
      <w:r>
        <w:t xml:space="preserve">The thesis will deliver a functional Translator Interpreter prototype with open-source code, validated for Tehran’s linguistic ecology. Key contributions include:</w:t>
      </w:r>
    </w:p>
    <w:p>
      <w:pPr>
        <w:numPr>
          <w:ilvl w:val="0"/>
          <w:numId w:val="1004"/>
        </w:numPr>
        <w:pStyle w:val="Compact"/>
      </w:pPr>
      <w:r>
        <w:t xml:space="preserve">A publicly accessible Persian-English-Arabic corpus specific to Tehran’s institutional language.</w:t>
      </w:r>
    </w:p>
    <w:p>
      <w:pPr>
        <w:numPr>
          <w:ilvl w:val="0"/>
          <w:numId w:val="1004"/>
        </w:numPr>
        <w:pStyle w:val="Compact"/>
      </w:pPr>
      <w:r>
        <w:t xml:space="preserve">Best practices for AI translation in linguistically diverse Muslim-majority contexts (addressing gaps in UNESCO studies on Middle Eastern NLP).</w:t>
      </w:r>
    </w:p>
    <w:p>
      <w:pPr>
        <w:numPr>
          <w:ilvl w:val="0"/>
          <w:numId w:val="1004"/>
        </w:numPr>
        <w:pStyle w:val="Compact"/>
      </w:pPr>
      <w:r>
        <w:t xml:space="preserve">A framework for policy integration—e.g., recommendations for Iran’s Ministry of Communications to mandate Translator Interpreter compliance in public services by 2026.</w:t>
      </w:r>
    </w:p>
    <w:p>
      <w:pPr>
        <w:pStyle w:val="FirstParagraph"/>
      </w:pPr>
      <w:r>
        <w:t xml:space="preserve">This project moves beyond theoretical translation models to create a tangible tool that empowers Tehran’s residents, businesses, and visitors. It redefines the</w:t>
      </w:r>
      <w:r>
        <w:t xml:space="preserve"> </w:t>
      </w:r>
      <w:r>
        <w:rPr>
          <w:bCs/>
          <w:b/>
        </w:rPr>
        <w:t xml:space="preserve">Translator Interpreter</w:t>
      </w:r>
      <w:r>
        <w:t xml:space="preserve"> </w:t>
      </w:r>
      <w:r>
        <w:t xml:space="preserve">not as a technical utility but as a socio-technical enabler of inclusion within Iran’s capital city.</w:t>
      </w:r>
    </w:p>
    <w:bookmarkEnd w:id="26"/>
    <w:bookmarkStart w:id="27" w:name="conclusion"/>
    <w:p>
      <w:pPr>
        <w:pStyle w:val="Heading2"/>
      </w:pPr>
      <w:r>
        <w:t xml:space="preserve">7. Conclusion</w:t>
      </w:r>
    </w:p>
    <w:p>
      <w:pPr>
        <w:pStyle w:val="FirstParagraph"/>
      </w:pPr>
      <w:r>
        <w:t xml:space="preserve">The need for an effective Translator Interpreter in Tehran is no longer academic—it is operational, economic, and deeply human. This proposal outlines a rigorous path to deliver a system that honors Iran’s linguistic heritage while meeting the demands of a globalized urban center. By grounding every design choice in Tehran’s lived reality—from the bustling streets of Valiasr Street to the halls of Tehran University—the research ensures relevance beyond academia. This</w:t>
      </w:r>
      <w:r>
        <w:t xml:space="preserve"> </w:t>
      </w:r>
      <w:r>
        <w:rPr>
          <w:bCs/>
          <w:b/>
        </w:rPr>
        <w:t xml:space="preserve">Thesis Proposal</w:t>
      </w:r>
      <w:r>
        <w:t xml:space="preserve"> </w:t>
      </w:r>
      <w:r>
        <w:t xml:space="preserve">thus positions itself as a critical step toward a more connected, efficient, and inclusive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Context-Specific Translator Interpreter System for Iran Tehran</dc:title>
  <dc:creator/>
  <dc:language>en</dc:language>
  <cp:keywords/>
  <dcterms:created xsi:type="dcterms:W3CDTF">2026-04-24T02:40:58Z</dcterms:created>
  <dcterms:modified xsi:type="dcterms:W3CDTF">2026-04-24T02:40:58Z</dcterms:modified>
</cp:coreProperties>
</file>

<file path=docProps/custom.xml><?xml version="1.0" encoding="utf-8"?>
<Properties xmlns="http://schemas.openxmlformats.org/officeDocument/2006/custom-properties" xmlns:vt="http://schemas.openxmlformats.org/officeDocument/2006/docPropsVTypes"/>
</file>