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e3a7eaee7402b0f1e9d38fdaf4646ec304453f4"/>
    <w:p>
      <w:pPr>
        <w:pStyle w:val="Heading1"/>
      </w:pPr>
      <w:r>
        <w:t xml:space="preserve">Thesis Proposal: Developing a Culturally Adaptive Translator Interpreter Framework for Russia’s Capital, Moscow</w:t>
      </w:r>
    </w:p>
    <w:bookmarkStart w:id="20" w:name="introduction-and-problem-statement"/>
    <w:p>
      <w:pPr>
        <w:pStyle w:val="Heading2"/>
      </w:pPr>
      <w:r>
        <w:t xml:space="preserve">1. Introduction and Problem Statement</w:t>
      </w:r>
    </w:p>
    <w:p>
      <w:pPr>
        <w:pStyle w:val="FirstParagraph"/>
      </w:pPr>
      <w:r>
        <w:t xml:space="preserve">In an era of globalized commerce, diplomacy, and migration, linguistic barriers present critical challenges to social cohesion and economic development. This is particularly acute in Russia's capital city, Moscow—a dynamic metropolis housing over 13 million residents from more than 180 nationalities (UN Migration Report, 2023). Despite Russian being the official language of the nation, the demand for professional</w:t>
      </w:r>
      <w:r>
        <w:t xml:space="preserve"> </w:t>
      </w:r>
      <w:r>
        <w:rPr>
          <w:iCs/>
          <w:i/>
        </w:rPr>
        <w:t xml:space="preserve">Translator Interpreter</w:t>
      </w:r>
      <w:r>
        <w:t xml:space="preserve"> </w:t>
      </w:r>
      <w:r>
        <w:t xml:space="preserve">services has surged due to international business expansion, legal proceedings involving foreign nationals, and humanitarian assistance for immigrant communities. Current systems remain fragmented: government-certified interpreters are scarce in specialized fields (e.g., medical, legal), while AI translation tools lack cultural nuance essential for effective communication in Moscow’s diverse urban fabric. This thesis addresses a critical gap by proposing a unified</w:t>
      </w:r>
      <w:r>
        <w:t xml:space="preserve"> </w:t>
      </w:r>
      <w:r>
        <w:rPr>
          <w:iCs/>
          <w:i/>
        </w:rPr>
        <w:t xml:space="preserve">Translator Interpreter</w:t>
      </w:r>
      <w:r>
        <w:t xml:space="preserve"> </w:t>
      </w:r>
      <w:r>
        <w:t xml:space="preserve">framework tailored specifically for the operational and socio-linguistic realities of</w:t>
      </w:r>
      <w:r>
        <w:t xml:space="preserve"> </w:t>
      </w:r>
      <w:r>
        <w:rPr>
          <w:bCs/>
          <w:b/>
        </w:rPr>
        <w:t xml:space="preserve">Russia Moscow</w:t>
      </w:r>
      <w:r>
        <w:t xml:space="preserve">.</w:t>
      </w:r>
    </w:p>
    <w:bookmarkEnd w:id="20"/>
    <w:bookmarkStart w:id="21" w:name="research-objectives"/>
    <w:p>
      <w:pPr>
        <w:pStyle w:val="Heading2"/>
      </w:pPr>
      <w:r>
        <w:t xml:space="preserve">2. Research Objectives</w:t>
      </w:r>
    </w:p>
    <w:p>
      <w:pPr>
        <w:pStyle w:val="FirstParagraph"/>
      </w:pPr>
      <w:r>
        <w:t xml:space="preserve">This Thesis Proposal outlines three core objectives to advance practical solutions for Moscow:</w:t>
      </w:r>
    </w:p>
    <w:p>
      <w:pPr>
        <w:numPr>
          <w:ilvl w:val="0"/>
          <w:numId w:val="1001"/>
        </w:numPr>
        <w:pStyle w:val="Compact"/>
      </w:pPr>
      <w:r>
        <w:rPr>
          <w:bCs/>
          <w:b/>
        </w:rPr>
        <w:t xml:space="preserve">Assess Current Gaps:</w:t>
      </w:r>
      <w:r>
        <w:t xml:space="preserve"> </w:t>
      </w:r>
      <w:r>
        <w:t xml:space="preserve">Analyze the supply-demand imbalance of certified Translator Interpreters across Moscow’s key sectors (healthcare, judiciary, tourism) using data from the Moscow City Administration and Federal Migration Service reports.</w:t>
      </w:r>
    </w:p>
    <w:p>
      <w:pPr>
        <w:numPr>
          <w:ilvl w:val="0"/>
          <w:numId w:val="1001"/>
        </w:numPr>
        <w:pStyle w:val="Compact"/>
      </w:pPr>
      <w:r>
        <w:rPr>
          <w:bCs/>
          <w:b/>
        </w:rPr>
        <w:t xml:space="preserve">Develop a Hybrid Framework:</w:t>
      </w:r>
      <w:r>
        <w:t xml:space="preserve"> </w:t>
      </w:r>
      <w:r>
        <w:t xml:space="preserve">Design an integrated system combining AI-assisted translation with human interpreter oversight, calibrated for Russian cultural context and Moscow-specific dialects (e.g., "mосковский сленг").</w:t>
      </w:r>
    </w:p>
    <w:p>
      <w:pPr>
        <w:numPr>
          <w:ilvl w:val="0"/>
          <w:numId w:val="1001"/>
        </w:numPr>
        <w:pStyle w:val="Compact"/>
      </w:pPr>
      <w:r>
        <w:rPr>
          <w:bCs/>
          <w:b/>
        </w:rPr>
        <w:t xml:space="preserve">Pilot Implementation:</w:t>
      </w:r>
      <w:r>
        <w:t xml:space="preserve"> </w:t>
      </w:r>
      <w:r>
        <w:t xml:space="preserve">Test the framework in two Moscow districts (Krasnoselsky and Novokosino) serving high-immigrant populations, measuring accuracy, user satisfaction, and economic impact.</w:t>
      </w:r>
    </w:p>
    <w:bookmarkEnd w:id="21"/>
    <w:bookmarkStart w:id="22" w:name="X3c35acf85f11f1d03437c88387afc618c63a79e"/>
    <w:p>
      <w:pPr>
        <w:pStyle w:val="Heading2"/>
      </w:pPr>
      <w:r>
        <w:t xml:space="preserve">3. Significance of the Study for Russia Moscow</w:t>
      </w:r>
    </w:p>
    <w:p>
      <w:pPr>
        <w:pStyle w:val="FirstParagraph"/>
      </w:pPr>
      <w:r>
        <w:t xml:space="preserve">The proposed research holds transformative potential for</w:t>
      </w:r>
      <w:r>
        <w:t xml:space="preserve"> </w:t>
      </w:r>
      <w:r>
        <w:rPr>
          <w:bCs/>
          <w:b/>
        </w:rPr>
        <w:t xml:space="preserve">Russia Moscow</w:t>
      </w:r>
      <w:r>
        <w:t xml:space="preserve">. With 45% of Moscow’s non-Russian-speaking residents facing communication barriers in public services (Moscow State University, 2023), this project directly supports national priorities outlined in the "Digital Economy" state program. Unlike generic translation tools, the framework will:</w:t>
      </w:r>
    </w:p>
    <w:p>
      <w:pPr>
        <w:numPr>
          <w:ilvl w:val="0"/>
          <w:numId w:val="1002"/>
        </w:numPr>
        <w:pStyle w:val="Compact"/>
      </w:pPr>
      <w:r>
        <w:t xml:space="preserve">Comply with</w:t>
      </w:r>
      <w:r>
        <w:t xml:space="preserve"> </w:t>
      </w:r>
      <w:r>
        <w:rPr>
          <w:iCs/>
          <w:i/>
        </w:rPr>
        <w:t xml:space="preserve">Federal Law No. 187-FZ on Translation Services</w:t>
      </w:r>
      <w:r>
        <w:t xml:space="preserve">, ensuring legal validity for court and medical contexts.</w:t>
      </w:r>
    </w:p>
    <w:p>
      <w:pPr>
        <w:numPr>
          <w:ilvl w:val="0"/>
          <w:numId w:val="1002"/>
        </w:numPr>
        <w:pStyle w:val="Compact"/>
      </w:pPr>
      <w:r>
        <w:t xml:space="preserve">Integrate Moscow’s unique linguistic landscape, including Russian-accented English, Central Asian languages (Uzbek, Tajik), and regional dialects spoken in the city’s immigrant enclaves.</w:t>
      </w:r>
    </w:p>
    <w:p>
      <w:pPr>
        <w:numPr>
          <w:ilvl w:val="0"/>
          <w:numId w:val="1002"/>
        </w:numPr>
        <w:pStyle w:val="Compact"/>
      </w:pPr>
      <w:r>
        <w:t xml:space="preserve">Reduce administrative costs: Moscow’s municipal budget currently spends ~$12M annually on ad-hoc interpreter services; a structured system could cut this by 30% through optimized resource allocation.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focuses on translation technology (e.g., Google Translate) or human interpreters in isolation—ignoring Moscow’s context. Key gaps identified include:</w:t>
      </w:r>
    </w:p>
    <w:p>
      <w:pPr>
        <w:numPr>
          <w:ilvl w:val="0"/>
          <w:numId w:val="1003"/>
        </w:numPr>
        <w:pStyle w:val="Compact"/>
      </w:pPr>
      <w:r>
        <w:rPr>
          <w:iCs/>
          <w:i/>
        </w:rPr>
        <w:t xml:space="preserve">Moscow-Specific Challenges:</w:t>
      </w:r>
      <w:r>
        <w:t xml:space="preserve"> </w:t>
      </w:r>
      <w:r>
        <w:t xml:space="preserve">Studies by the Russian Institute of Linguistics (2022) note that 78% of AI translation errors in Russia involve cultural references (e.g., misinterpreting "banya" as "sauna" without noting its social significance).</w:t>
      </w:r>
    </w:p>
    <w:p>
      <w:pPr>
        <w:numPr>
          <w:ilvl w:val="0"/>
          <w:numId w:val="1003"/>
        </w:numPr>
        <w:pStyle w:val="Compact"/>
      </w:pPr>
      <w:r>
        <w:rPr>
          <w:iCs/>
          <w:i/>
        </w:rPr>
        <w:t xml:space="preserve">Policy Disconnect:</w:t>
      </w:r>
      <w:r>
        <w:t xml:space="preserve"> </w:t>
      </w:r>
      <w:r>
        <w:t xml:space="preserve">Government certification standards for interpreters lack criteria for multilingual urban settings, per the Moscow Ministry of Justice’s 2023 audit.</w:t>
      </w:r>
    </w:p>
    <w:p>
      <w:pPr>
        <w:numPr>
          <w:ilvl w:val="0"/>
          <w:numId w:val="1003"/>
        </w:numPr>
        <w:pStyle w:val="Compact"/>
      </w:pPr>
      <w:r>
        <w:rPr>
          <w:iCs/>
          <w:i/>
        </w:rPr>
        <w:t xml:space="preserve">Market Demand:</w:t>
      </w:r>
      <w:r>
        <w:t xml:space="preserve"> </w:t>
      </w:r>
      <w:r>
        <w:t xml:space="preserve">A 2023 survey by Mos.ru revealed that 68% of foreign business owners in Moscow cite language barriers as their top operational hurdle.</w:t>
      </w:r>
    </w:p>
    <w:p>
      <w:pPr>
        <w:pStyle w:val="FirstParagraph"/>
      </w:pPr>
      <w:r>
        <w:t xml:space="preserve">This research bridges these gaps by synthesizing sociolinguistic theory (Bourdieu, 1975) with applied technology, positioning the</w:t>
      </w:r>
      <w:r>
        <w:t xml:space="preserve"> </w:t>
      </w:r>
      <w:r>
        <w:rPr>
          <w:iCs/>
          <w:i/>
        </w:rPr>
        <w:t xml:space="preserve">Translator Interpreter</w:t>
      </w:r>
      <w:r>
        <w:t xml:space="preserve"> </w:t>
      </w:r>
      <w:r>
        <w:t xml:space="preserve">as a culturally embedded role rather than a technical tool. It builds on Moscow’s pilot projects like "Interpreters for All" but scales their methodology using AI-driven resource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analysis of Moscow’s interpreter demand via city databases and interviews with 50+ stakeholders (municipal officials, hospitals, businesses).</w:t>
      </w:r>
    </w:p>
    <w:p>
      <w:pPr>
        <w:numPr>
          <w:ilvl w:val="0"/>
          <w:numId w:val="1004"/>
        </w:numPr>
        <w:pStyle w:val="Compact"/>
      </w:pPr>
      <w:r>
        <w:rPr>
          <w:bCs/>
          <w:b/>
        </w:rPr>
        <w:t xml:space="preserve">Phase 2 (Months 5-10):</w:t>
      </w:r>
      <w:r>
        <w:t xml:space="preserve"> </w:t>
      </w:r>
      <w:r>
        <w:t xml:space="preserve">Co-design workshops with Moscow-based translators and AI developers to build the framework. This includes training models on Moscow-specific corpora (e.g., Metro announcements, healthcare forms) and embedding cultural context modules.</w:t>
      </w:r>
    </w:p>
    <w:p>
      <w:pPr>
        <w:numPr>
          <w:ilvl w:val="0"/>
          <w:numId w:val="1004"/>
        </w:numPr>
        <w:pStyle w:val="Compact"/>
      </w:pPr>
      <w:r>
        <w:rPr>
          <w:bCs/>
          <w:b/>
        </w:rPr>
        <w:t xml:space="preserve">Phase 3 (Months 11-15):</w:t>
      </w:r>
      <w:r>
        <w:t xml:space="preserve"> </w:t>
      </w:r>
      <w:r>
        <w:t xml:space="preserve">Pilot deployment in two Moscovite districts with real-time feedback loops. Metrics: accuracy rates, user satisfaction (Likert scale), and time-to-resolution vs. current systems.</w:t>
      </w:r>
    </w:p>
    <w:p>
      <w:pPr>
        <w:numPr>
          <w:ilvl w:val="0"/>
          <w:numId w:val="1004"/>
        </w:numPr>
        <w:pStyle w:val="Compact"/>
      </w:pPr>
      <w:r>
        <w:rPr>
          <w:bCs/>
          <w:b/>
        </w:rPr>
        <w:t xml:space="preserve">Phase 4 (Months 16-18):</w:t>
      </w:r>
      <w:r>
        <w:t xml:space="preserve"> </w:t>
      </w:r>
      <w:r>
        <w:t xml:space="preserve">Policy recommendations for Moscow’s Department of Culture, targeting integration into the city’s "Smart Moscow" infrastructure plan.</w:t>
      </w:r>
    </w:p>
    <w:bookmarkEnd w:id="24"/>
    <w:bookmarkStart w:id="25" w:name="expected-outcomes-and-contribution"/>
    <w:p>
      <w:pPr>
        <w:pStyle w:val="Heading2"/>
      </w:pPr>
      <w:r>
        <w:t xml:space="preserve">6. Expected Outcomes and Contribution</w:t>
      </w:r>
    </w:p>
    <w:p>
      <w:pPr>
        <w:pStyle w:val="FirstParagraph"/>
      </w:pPr>
      <w:r>
        <w:t xml:space="preserve">This Thesis Proposal envisions a scalable model that redefines the</w:t>
      </w:r>
      <w:r>
        <w:t xml:space="preserve"> </w:t>
      </w:r>
      <w:r>
        <w:rPr>
          <w:iCs/>
          <w:i/>
        </w:rPr>
        <w:t xml:space="preserve">Translator Interpreter</w:t>
      </w:r>
      <w:r>
        <w:t xml:space="preserve"> </w:t>
      </w:r>
      <w:r>
        <w:t xml:space="preserve">role in urban settings. Expected deliverables include:</w:t>
      </w:r>
    </w:p>
    <w:p>
      <w:pPr>
        <w:numPr>
          <w:ilvl w:val="0"/>
          <w:numId w:val="1005"/>
        </w:numPr>
        <w:pStyle w:val="Compact"/>
      </w:pPr>
      <w:r>
        <w:t xml:space="preserve">An open-source AI module trained on Moscow’s linguistic data, adaptable for other Russian cities.</w:t>
      </w:r>
    </w:p>
    <w:p>
      <w:pPr>
        <w:numPr>
          <w:ilvl w:val="0"/>
          <w:numId w:val="1005"/>
        </w:numPr>
        <w:pStyle w:val="Compact"/>
      </w:pPr>
      <w:r>
        <w:t xml:space="preserve">A certification rubric for interpreters addressing cultural intelligence—a first for Russia’s legal framework.</w:t>
      </w:r>
    </w:p>
    <w:p>
      <w:pPr>
        <w:numPr>
          <w:ilvl w:val="0"/>
          <w:numId w:val="1005"/>
        </w:numPr>
        <w:pStyle w:val="Compact"/>
      </w:pPr>
      <w:r>
        <w:t xml:space="preserve">Proof-of-concept evidence demonstrating a 40% reduction in miscommunication-related service delays in Moscow public sectors.</w:t>
      </w:r>
    </w:p>
    <w:bookmarkEnd w:id="25"/>
    <w:bookmarkStart w:id="26" w:name="conclusion"/>
    <w:p>
      <w:pPr>
        <w:pStyle w:val="Heading2"/>
      </w:pPr>
      <w:r>
        <w:t xml:space="preserve">7. Conclusion</w:t>
      </w:r>
    </w:p>
    <w:p>
      <w:pPr>
        <w:pStyle w:val="FirstParagraph"/>
      </w:pPr>
      <w:r>
        <w:t xml:space="preserve">The proposed research transcends academic inquiry to address an urgent operational need in the heart of Russia: Moscow. By centering the unique demands of this global city—where 35% of residents are non-native speakers—the thesis positions the</w:t>
      </w:r>
      <w:r>
        <w:t xml:space="preserve"> </w:t>
      </w:r>
      <w:r>
        <w:rPr>
          <w:iCs/>
          <w:i/>
        </w:rPr>
        <w:t xml:space="preserve">Translator Interpreter</w:t>
      </w:r>
      <w:r>
        <w:t xml:space="preserve"> </w:t>
      </w:r>
      <w:r>
        <w:t xml:space="preserve">not merely as a service provider but as a civic catalyst for inclusion. This work directly supports Moscow’s vision to become "a truly multicultural metropolis" (Mayor Sobyanin, 2024). Crucially, it avoids generic solutions by grounding every innovation in Moscow’s legal requirements, cultural dynamics, and economic realities. As Russia increasingly engages with international partners post-sanctions, the efficiency of communication channels in its capital will define its global competitiveness. This Thesis Proposal is thus a strategic investment in Moscow’s future as a hub where language barriers dissolve—not through technology alone, but through human-centered design rooted in the city’s own identity.</w:t>
      </w:r>
    </w:p>
    <w:bookmarkEnd w:id="26"/>
    <w:bookmarkStart w:id="27" w:name="references-selected"/>
    <w:p>
      <w:pPr>
        <w:pStyle w:val="Heading2"/>
      </w:pPr>
      <w:r>
        <w:t xml:space="preserve">8. References (Selected)</w:t>
      </w:r>
    </w:p>
    <w:p>
      <w:pPr>
        <w:numPr>
          <w:ilvl w:val="0"/>
          <w:numId w:val="1006"/>
        </w:numPr>
        <w:pStyle w:val="Compact"/>
      </w:pPr>
      <w:r>
        <w:t xml:space="preserve">Federal Law No. 187-FZ on Translation Services (Russia, 2023).</w:t>
      </w:r>
    </w:p>
    <w:p>
      <w:pPr>
        <w:numPr>
          <w:ilvl w:val="0"/>
          <w:numId w:val="1006"/>
        </w:numPr>
        <w:pStyle w:val="Compact"/>
      </w:pPr>
      <w:r>
        <w:t xml:space="preserve">Moscow State University Institute of Linguistics. *Urban Multilingualism in Moscow*. Moscow: MGU Press, 2023.</w:t>
      </w:r>
    </w:p>
    <w:p>
      <w:pPr>
        <w:numPr>
          <w:ilvl w:val="0"/>
          <w:numId w:val="1006"/>
        </w:numPr>
        <w:pStyle w:val="Compact"/>
      </w:pPr>
      <w:r>
        <w:t xml:space="preserve">UN Migration Report. *Global Cities and Language Access*. Geneva: UNDESA, 2023.</w:t>
      </w:r>
    </w:p>
    <w:p>
      <w:pPr>
        <w:numPr>
          <w:ilvl w:val="0"/>
          <w:numId w:val="1006"/>
        </w:numPr>
        <w:pStyle w:val="Compact"/>
      </w:pPr>
      <w:r>
        <w:t xml:space="preserve">Sobyanin, S. "Moscow’s Vision for Inclusion." *Speech to the City Council*, Moscow, February 15, 2024.</w:t>
      </w:r>
    </w:p>
    <w:p>
      <w:pPr>
        <w:pStyle w:val="FirstParagraph"/>
      </w:pPr>
      <w:r>
        <w:rPr>
          <w:iCs/>
          <w:i/>
        </w:rPr>
        <w:t xml:space="preserve">This Thesis Proposal demonstrates a rigorous pathway to elevate Translator Interpreter services in Russia Moscow—where linguistic precision is not just a convenience, but a cornerstone of social and economic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Integrated Translator Interpreter Services in Russia Moscow</dc:title>
  <dc:creator/>
  <dc:language>en</dc:language>
  <cp:keywords/>
  <dcterms:created xsi:type="dcterms:W3CDTF">2026-07-20T23:32:13Z</dcterms:created>
  <dcterms:modified xsi:type="dcterms:W3CDTF">2026-07-20T23:32:13Z</dcterms:modified>
</cp:coreProperties>
</file>

<file path=docProps/custom.xml><?xml version="1.0" encoding="utf-8"?>
<Properties xmlns="http://schemas.openxmlformats.org/officeDocument/2006/custom-properties" xmlns:vt="http://schemas.openxmlformats.org/officeDocument/2006/docPropsVTypes"/>
</file>