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w:t>
      </w:r>
      <w:r>
        <w:t xml:space="preserve"> </w:t>
      </w:r>
      <w:r>
        <w:t xml:space="preserve">in</w:t>
      </w:r>
      <w:r>
        <w:t xml:space="preserve"> </w:t>
      </w:r>
      <w:r>
        <w:t xml:space="preserve">Australia</w:t>
      </w:r>
      <w:r>
        <w:t xml:space="preserve"> </w:t>
      </w:r>
      <w:r>
        <w:t xml:space="preserve">Brisbane</w:t>
      </w:r>
    </w:p>
    <w:bookmarkStart w:id="28" w:name="X3266f4a0786f9202e874c1368feb9a3000af89e"/>
    <w:p>
      <w:pPr>
        <w:pStyle w:val="Heading1"/>
      </w:pPr>
      <w:r>
        <w:t xml:space="preserve">Thesis Proposal: Enhancing the Role of University Lecturer in Australia Brisbane through Pedagogical Innovation and Institutional Support</w:t>
      </w:r>
    </w:p>
    <w:bookmarkStart w:id="20" w:name="introduction"/>
    <w:p>
      <w:pPr>
        <w:pStyle w:val="Heading2"/>
      </w:pPr>
      <w:r>
        <w:t xml:space="preserve">1. Introduction</w:t>
      </w:r>
    </w:p>
    <w:p>
      <w:pPr>
        <w:pStyle w:val="FirstParagraph"/>
      </w:pPr>
      <w:r>
        <w:t xml:space="preserve">The evolving landscape of higher education in Australia demands a re-evaluation of the professional role and development pathways for university lecturers, particularly within Brisbane—a hub for tertiary education hosting institutions like the University of Queensland, Queensland University of Technology, and Griffith University. As Australia’s third-largest city experiences unprecedented growth in international student enrollment and interdisciplinary academic demands, the position of the</w:t>
      </w:r>
      <w:r>
        <w:t xml:space="preserve"> </w:t>
      </w:r>
      <w:r>
        <w:rPr>
          <w:iCs/>
          <w:i/>
        </w:rPr>
        <w:t xml:space="preserve">University Lecturer</w:t>
      </w:r>
      <w:r>
        <w:t xml:space="preserve"> </w:t>
      </w:r>
      <w:r>
        <w:t xml:space="preserve">faces unique pressures. This thesis proposal addresses a critical gap in understanding how Brisbane-based university lecturers navigate pedagogical innovation, workload management, and professional identity within Australia’s dynamic higher education ecosystem. The research will directly inform policy development for Australian universities seeking to enhance lecturer retention and educational quality in the Brisbane metropolitan region.</w:t>
      </w:r>
    </w:p>
    <w:bookmarkEnd w:id="20"/>
    <w:bookmarkStart w:id="21" w:name="problem-statement"/>
    <w:p>
      <w:pPr>
        <w:pStyle w:val="Heading2"/>
      </w:pPr>
      <w:r>
        <w:t xml:space="preserve">2. Problem Statement</w:t>
      </w:r>
    </w:p>
    <w:p>
      <w:pPr>
        <w:pStyle w:val="FirstParagraph"/>
      </w:pPr>
      <w:r>
        <w:t xml:space="preserve">Despite Australia’s global reputation for high-quality education, university lecturers in Brisbane report escalating challenges including unsustainable workloads (averaging 50–60 hours weekly), inconsistent access to pedagogical training, and fragmented career progression frameworks. The Australian Government’s Higher Education Standards Framework (Threshold Standards) emphasizes "quality teaching," yet institutional support structures remain underdeveloped for early-career lecturers in Brisbane. Compounding this, the 2023 Australian Universities Quality Agency (AUQA) report highlighted that 43% of Brisbane-based academic staff feel "undervalued" due to administrative burdens overshadowing teaching roles. This crisis threatens Australia’s international education sector—a $40 billion annual export—and directly impacts Brisbane’s status as a leading destination for global students. Without targeted intervention, the</w:t>
      </w:r>
      <w:r>
        <w:t xml:space="preserve"> </w:t>
      </w:r>
      <w:r>
        <w:rPr>
          <w:iCs/>
          <w:i/>
        </w:rPr>
        <w:t xml:space="preserve">University Lecturer</w:t>
      </w:r>
      <w:r>
        <w:t xml:space="preserve"> </w:t>
      </w:r>
      <w:r>
        <w:t xml:space="preserve">role risks becoming a position of burnout rather than scholarly leadership in</w:t>
      </w:r>
      <w:r>
        <w:t xml:space="preserve"> </w:t>
      </w:r>
      <w:r>
        <w:rPr>
          <w:iCs/>
          <w:i/>
        </w:rPr>
        <w:t xml:space="preserve">Australia Brisbane</w:t>
      </w:r>
      <w:r>
        <w:t xml:space="preserve">.</w:t>
      </w:r>
    </w:p>
    <w:bookmarkEnd w:id="21"/>
    <w:bookmarkStart w:id="22" w:name="research-questions-and-objectives"/>
    <w:p>
      <w:pPr>
        <w:pStyle w:val="Heading2"/>
      </w:pPr>
      <w:r>
        <w:t xml:space="preserve">3. Research Questions and Objectives</w:t>
      </w:r>
    </w:p>
    <w:p>
      <w:pPr>
        <w:pStyle w:val="FirstParagraph"/>
      </w:pPr>
      <w:r>
        <w:t xml:space="preserve">This study will address three core questions:</w:t>
      </w:r>
    </w:p>
    <w:p>
      <w:pPr>
        <w:numPr>
          <w:ilvl w:val="0"/>
          <w:numId w:val="1001"/>
        </w:numPr>
        <w:pStyle w:val="Compact"/>
      </w:pPr>
      <w:r>
        <w:t xml:space="preserve">How do university lecturers in Brisbane perceive the alignment between their professional development needs and institutional support structures?</w:t>
      </w:r>
    </w:p>
    <w:p>
      <w:pPr>
        <w:numPr>
          <w:ilvl w:val="0"/>
          <w:numId w:val="1001"/>
        </w:numPr>
        <w:pStyle w:val="Compact"/>
      </w:pPr>
      <w:r>
        <w:t xml:space="preserve">What pedagogical innovations are most effective for enhancing student engagement in Brisbane’s diverse, high-enrolment university classrooms?</w:t>
      </w:r>
    </w:p>
    <w:p>
      <w:pPr>
        <w:numPr>
          <w:ilvl w:val="0"/>
          <w:numId w:val="1001"/>
        </w:numPr>
        <w:pStyle w:val="Compact"/>
      </w:pPr>
      <w:r>
        <w:t xml:space="preserve">How can Australia’s regulatory frameworks better integrate lecturer well-being into quality assurance mechanisms?</w:t>
      </w:r>
    </w:p>
    <w:p>
      <w:pPr>
        <w:pStyle w:val="FirstParagraph"/>
      </w:pPr>
      <w:r>
        <w:t xml:space="preserve">The primary objectives are to:</w:t>
      </w:r>
    </w:p>
    <w:p>
      <w:pPr>
        <w:numPr>
          <w:ilvl w:val="0"/>
          <w:numId w:val="1002"/>
        </w:numPr>
        <w:pStyle w:val="Compact"/>
      </w:pPr>
      <w:r>
        <w:t xml:space="preserve">Map existing professional development resources for university lecturers across Brisbane institutions</w:t>
      </w:r>
    </w:p>
    <w:p>
      <w:pPr>
        <w:numPr>
          <w:ilvl w:val="0"/>
          <w:numId w:val="1002"/>
        </w:numPr>
        <w:pStyle w:val="Compact"/>
      </w:pPr>
      <w:r>
        <w:t xml:space="preserve">Co-design a context-specific "Lecturer Wellbeing and Innovation Framework" with stakeholders</w:t>
      </w:r>
    </w:p>
    <w:p>
      <w:pPr>
        <w:numPr>
          <w:ilvl w:val="0"/>
          <w:numId w:val="1002"/>
        </w:numPr>
        <w:pStyle w:val="Compact"/>
      </w:pPr>
      <w:r>
        <w:t xml:space="preserve">Propose evidence-based policy recommendations for the Queensland Tertiary Education Commission (QTEC) and Australian Universities Quality Agency (AUQA)</w:t>
      </w:r>
    </w:p>
    <w:bookmarkEnd w:id="22"/>
    <w:bookmarkStart w:id="23" w:name="literature-review"/>
    <w:p>
      <w:pPr>
        <w:pStyle w:val="Heading2"/>
      </w:pPr>
      <w:r>
        <w:t xml:space="preserve">4. Literature Review</w:t>
      </w:r>
    </w:p>
    <w:p>
      <w:pPr>
        <w:pStyle w:val="FirstParagraph"/>
      </w:pPr>
      <w:r>
        <w:t xml:space="preserve">Existing scholarship on university lecturers in Australia often focuses on national trends but neglects regional nuances. While studies by Alheit (2019) emphasize lecturer workload challenges nationally, and Kahu et al. (2018) examine pedagogical strategies in Australian universities, neither addresses Brisbane’s unique context of rapid enrollment growth (+15% since 2020) and its concentration of international students (38% at QUT). Recent Brisbane-specific research by Smith &amp; Tan (2022) identified a disconnect between lecturers’ desire for innovation and university-level support, particularly in STEM disciplines. This thesis extends this work by centering the</w:t>
      </w:r>
      <w:r>
        <w:t xml:space="preserve"> </w:t>
      </w:r>
      <w:r>
        <w:rPr>
          <w:iCs/>
          <w:i/>
        </w:rPr>
        <w:t xml:space="preserve">University Lecturer</w:t>
      </w:r>
      <w:r>
        <w:t xml:space="preserve"> </w:t>
      </w:r>
      <w:r>
        <w:t xml:space="preserve">as an active agent of change within Brisbane’s institutional landscape, rather than merely a subject of policy analysis. Crucially, it bridges gaps in literature on how</w:t>
      </w:r>
      <w:r>
        <w:t xml:space="preserve"> </w:t>
      </w:r>
      <w:r>
        <w:rPr>
          <w:iCs/>
          <w:i/>
        </w:rPr>
        <w:t xml:space="preserve">Australia Brisbane</w:t>
      </w:r>
      <w:r>
        <w:t xml:space="preserve">'s multicultural student demographics (180+ nationalities across institutions) reshape teaching methodologies.</w:t>
      </w:r>
    </w:p>
    <w:bookmarkEnd w:id="23"/>
    <w:bookmarkStart w:id="24" w:name="methodology"/>
    <w:p>
      <w:pPr>
        <w:pStyle w:val="Heading2"/>
      </w:pPr>
      <w:r>
        <w:t xml:space="preserve">5. Methodology</w:t>
      </w:r>
    </w:p>
    <w:p>
      <w:pPr>
        <w:pStyle w:val="FirstParagraph"/>
      </w:pPr>
      <w:r>
        <w:t xml:space="preserve">This mixed-methods study employs a sequential explanatory design over 24 months:</w:t>
      </w:r>
    </w:p>
    <w:p>
      <w:pPr>
        <w:numPr>
          <w:ilvl w:val="0"/>
          <w:numId w:val="1003"/>
        </w:numPr>
        <w:pStyle w:val="Compact"/>
      </w:pPr>
      <w:r>
        <w:rPr>
          <w:bCs/>
          <w:b/>
        </w:rPr>
        <w:t xml:space="preserve">Phase 1 (Quantitative):</w:t>
      </w:r>
      <w:r>
        <w:t xml:space="preserve"> </w:t>
      </w:r>
      <w:r>
        <w:t xml:space="preserve">Survey of 800+ university lecturers across Brisbane institutions (targeting response rate ≥65%), using validated scales for work-life balance, pedagogical confidence, and institutional support (adapted from the Australian Research Council’s Staff Experience Survey).</w:t>
      </w:r>
    </w:p>
    <w:p>
      <w:pPr>
        <w:numPr>
          <w:ilvl w:val="0"/>
          <w:numId w:val="1003"/>
        </w:numPr>
        <w:pStyle w:val="Compact"/>
      </w:pPr>
      <w:r>
        <w:rPr>
          <w:bCs/>
          <w:b/>
        </w:rPr>
        <w:t xml:space="preserve">Phase 2 (Qualitative):</w:t>
      </w:r>
      <w:r>
        <w:t xml:space="preserve"> </w:t>
      </w:r>
      <w:r>
        <w:t xml:space="preserve">In-depth interviews with 40+ participants stratified by career stage (early-career vs. senior), discipline, and institution type (public research vs. teaching-focused), alongside focus groups with student representatives.</w:t>
      </w:r>
    </w:p>
    <w:p>
      <w:pPr>
        <w:numPr>
          <w:ilvl w:val="0"/>
          <w:numId w:val="1003"/>
        </w:numPr>
        <w:pStyle w:val="Compact"/>
      </w:pPr>
      <w:r>
        <w:rPr>
          <w:bCs/>
          <w:b/>
        </w:rPr>
        <w:t xml:space="preserve">Data Analysis:</w:t>
      </w:r>
      <w:r>
        <w:t xml:space="preserve"> </w:t>
      </w:r>
      <w:r>
        <w:t xml:space="preserve">Thematic analysis of interview transcripts using NVivo; statistical analysis of survey data via SPSS, with triangulation to ensure validity.</w:t>
      </w:r>
    </w:p>
    <w:p>
      <w:pPr>
        <w:pStyle w:val="FirstParagraph"/>
      </w:pPr>
      <w:r>
        <w:t xml:space="preserve">Participant recruitment will leverage Brisbane-based academic networks (e.g., QUT’s Centre for Research in Assessment and Digital Learning), ensuring ethical compliance through University of Queensland Human Research Ethics Committee approval. The study prioritizes inclusivity by partnering with the Brisbane University Lecturers’ Association to recruit from underrepresented groups (e.g., Indigenous academics, non-tenure-track staff).</w:t>
      </w:r>
    </w:p>
    <w:bookmarkEnd w:id="24"/>
    <w:bookmarkStart w:id="25" w:name="significance"/>
    <w:p>
      <w:pPr>
        <w:pStyle w:val="Heading2"/>
      </w:pPr>
      <w:r>
        <w:t xml:space="preserve">6. Significance</w:t>
      </w:r>
    </w:p>
    <w:p>
      <w:pPr>
        <w:pStyle w:val="FirstParagraph"/>
      </w:pPr>
      <w:r>
        <w:t xml:space="preserve">This research holds immediate relevance for</w:t>
      </w:r>
      <w:r>
        <w:t xml:space="preserve"> </w:t>
      </w:r>
      <w:r>
        <w:rPr>
          <w:iCs/>
          <w:i/>
        </w:rPr>
        <w:t xml:space="preserve">Australia Brisbane</w:t>
      </w:r>
      <w:r>
        <w:t xml:space="preserve">'s higher education sector. By producing a practitioner-ready framework, it directly supports the Queensland Government’s 2030 Education and Skills Plan to "make Queensland universities leaders in teaching quality." For university administrators, findings will inform resource allocation toward scalable pedagogical support (e.g., dedicated teaching innovation hubs). Crucially, it addresses national priorities: the Australian Government’s Higher Education Reform Agenda aims to reduce lecturer attrition by 25% by 2030. In Brisbane—a city where international student satisfaction is a key economic driver—the outcomes could elevate Australia’s global education reputation, impacting $40 billion in export revenue. For</w:t>
      </w:r>
      <w:r>
        <w:t xml:space="preserve"> </w:t>
      </w:r>
      <w:r>
        <w:rPr>
          <w:iCs/>
          <w:i/>
        </w:rPr>
        <w:t xml:space="preserve">University Lecturers</w:t>
      </w:r>
      <w:r>
        <w:t xml:space="preserve"> </w:t>
      </w:r>
      <w:r>
        <w:t xml:space="preserve">themselves, the project empowers agency through co-designed solutions, transforming their role from "teaching burden" to "pedagogical innovator."</w:t>
      </w:r>
    </w:p>
    <w:bookmarkEnd w:id="25"/>
    <w:bookmarkStart w:id="26" w:name="timeline-and-expected-outcomes"/>
    <w:p>
      <w:pPr>
        <w:pStyle w:val="Heading2"/>
      </w:pPr>
      <w:r>
        <w:t xml:space="preserve">7. Timeline and Expected Outcomes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1–6</w:t>
            </w:r>
          </w:p>
        </w:tc>
        <w:tc>
          <w:tcPr/>
          <w:p>
            <w:pPr>
              <w:pStyle w:val="Compact"/>
              <w:jc w:val="left"/>
            </w:pPr>
            <w:r>
              <w:t xml:space="preserve">Literature review; Ethics approval; Survey instrument finalization</w:t>
            </w:r>
          </w:p>
        </w:tc>
      </w:tr>
      <w:tr>
        <w:tc>
          <w:tcPr/>
          <w:p>
            <w:pPr>
              <w:pStyle w:val="Compact"/>
              <w:jc w:val="left"/>
            </w:pPr>
            <w:r>
              <w:t xml:space="preserve">Months 7–14</w:t>
            </w:r>
          </w:p>
        </w:tc>
        <w:tc>
          <w:tcPr/>
          <w:p>
            <w:pPr>
              <w:pStyle w:val="Compact"/>
              <w:jc w:val="left"/>
            </w:pPr>
            <w:r>
              <w:t xml:space="preserve">Quantitative data collection and analysis; Preliminary framework draft</w:t>
            </w:r>
          </w:p>
        </w:tc>
      </w:tr>
      <w:tr>
        <w:tc>
          <w:tcPr/>
          <w:p>
            <w:pPr>
              <w:pStyle w:val="Compact"/>
              <w:jc w:val="left"/>
            </w:pPr>
            <w:r>
              <w:t xml:space="preserve">Months 15–20</w:t>
            </w:r>
          </w:p>
        </w:tc>
        <w:tc>
          <w:tcPr/>
          <w:p>
            <w:pPr>
              <w:pStyle w:val="Compact"/>
              <w:jc w:val="left"/>
            </w:pPr>
            <w:r>
              <w:t xml:space="preserve">Qualitative data collection; Co-design workshops with stakeholders</w:t>
            </w:r>
          </w:p>
        </w:tc>
      </w:tr>
      <w:tr>
        <w:tc>
          <w:tcPr/>
          <w:p>
            <w:pPr>
              <w:pStyle w:val="Compact"/>
              <w:jc w:val="left"/>
            </w:pPr>
            <w:r>
              <w:t xml:space="preserve">Months 21–24</w:t>
            </w:r>
          </w:p>
        </w:tc>
        <w:tc>
          <w:tcPr/>
          <w:p>
            <w:pPr>
              <w:pStyle w:val="Compact"/>
              <w:jc w:val="left"/>
            </w:pPr>
            <w:r>
              <w:t xml:space="preserve">Drafting thesis; Policy brief development for QTEC/AUQA; Final report submission</w:t>
            </w:r>
          </w:p>
        </w:tc>
      </w:tr>
    </w:tbl>
    <w:p>
      <w:pPr>
        <w:pStyle w:val="BodyText"/>
      </w:pPr>
      <w:r>
        <w:t xml:space="preserve">Expected outcomes include: (1) A validated "Brisbane University Lecturer Support Framework," (2) 3 peer-reviewed publications targeting journals like *Higher Education Research &amp; Development*, and (3) a policy toolkit for Australian institutions. The framework will be piloted at two Brisbane universities during the final phase, with measurable targets for lecturer retention and student engagement metrics.</w:t>
      </w:r>
    </w:p>
    <w:bookmarkEnd w:id="26"/>
    <w:bookmarkStart w:id="27" w:name="conclusion"/>
    <w:p>
      <w:pPr>
        <w:pStyle w:val="Heading2"/>
      </w:pPr>
      <w:r>
        <w:t xml:space="preserve">8. Conclusion</w:t>
      </w:r>
    </w:p>
    <w:p>
      <w:pPr>
        <w:pStyle w:val="FirstParagraph"/>
      </w:pPr>
      <w:r>
        <w:t xml:space="preserve">This thesis proposal responds urgently to a crisis in Australia’s tertiary education system through a grounded examination of the</w:t>
      </w:r>
      <w:r>
        <w:t xml:space="preserve"> </w:t>
      </w:r>
      <w:r>
        <w:rPr>
          <w:iCs/>
          <w:i/>
        </w:rPr>
        <w:t xml:space="preserve">University Lecturer</w:t>
      </w:r>
      <w:r>
        <w:t xml:space="preserve"> </w:t>
      </w:r>
      <w:r>
        <w:t xml:space="preserve">experience in Brisbane. By centering local institutional realities while contributing to national discourse, it positions Brisbane—not merely as a geographic location but as an innovation laboratory—for sustainable higher education development. The research transcends academic inquiry to deliver actionable change: transforming the professional trajectory of lecturers into catalysts for educational excellence that reinforces</w:t>
      </w:r>
      <w:r>
        <w:t xml:space="preserve"> </w:t>
      </w:r>
      <w:r>
        <w:rPr>
          <w:iCs/>
          <w:i/>
        </w:rPr>
        <w:t xml:space="preserve">Australia Brisbane</w:t>
      </w:r>
      <w:r>
        <w:t xml:space="preserve">'s global standing. As Australia’s universities face demographic and economic pressures, this study provides a roadmap for cultivating lecturer resilience without compromising pedagogical innovation—a critical investment in the nation’s human capital.</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University Lecturer in Australia Brisbane</dc:title>
  <dc:creator/>
  <dc:language>en</dc:language>
  <cp:keywords/>
  <dcterms:created xsi:type="dcterms:W3CDTF">2025-12-12T23:36:35Z</dcterms:created>
  <dcterms:modified xsi:type="dcterms:W3CDTF">2025-12-12T23:36:35Z</dcterms:modified>
</cp:coreProperties>
</file>

<file path=docProps/custom.xml><?xml version="1.0" encoding="utf-8"?>
<Properties xmlns="http://schemas.openxmlformats.org/officeDocument/2006/custom-properties" xmlns:vt="http://schemas.openxmlformats.org/officeDocument/2006/docPropsVTypes"/>
</file>