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f412ba6c3b31db189d0d0c61f2cd37809b137c2"/>
    <w:p>
      <w:pPr>
        <w:pStyle w:val="Heading1"/>
      </w:pPr>
      <w:r>
        <w:t xml:space="preserve">Thesis Proposal: Advancing Pedagogical Excellence for University Lecturers in the Netherlands Amsterdam Higher Education Ecosystem</w:t>
      </w:r>
    </w:p>
    <w:bookmarkStart w:id="20" w:name="introduction-and-contextual-background"/>
    <w:p>
      <w:pPr>
        <w:pStyle w:val="Heading2"/>
      </w:pPr>
      <w:r>
        <w:t xml:space="preserve">1. Introduction and Contextual Background</w:t>
      </w:r>
    </w:p>
    <w:p>
      <w:pPr>
        <w:pStyle w:val="FirstParagraph"/>
      </w:pPr>
      <w:r>
        <w:t xml:space="preserve">The landscape of higher education in the Netherlands, particularly within Amsterdam's vibrant academic community, faces evolving challenges in maintaining pedagogical excellence amid increasing student diversity, digital transformation, and global competitiveness. As a prospective University Lecturer at one of Amsterdam's renowned institutions—such as the University of Amsterdam (UvA), Vrije Universiteit Amsterdam (VU), or AMSTERDAM UNIVERSITY OF APPLIED SCIENCES—this Thesis Proposal outlines a research agenda designed to address critical gaps in lecturer development and student engagement. The Netherlands' commitment to high-quality, internationally oriented education places significant emphasis on evidence-based teaching practices, making this research not merely academic but strategically vital for the future of Amsterdam's universities.</w:t>
      </w:r>
    </w:p>
    <w:bookmarkEnd w:id="20"/>
    <w:bookmarkStart w:id="21" w:name="problem-statement"/>
    <w:p>
      <w:pPr>
        <w:pStyle w:val="Heading2"/>
      </w:pPr>
      <w:r>
        <w:t xml:space="preserve">2. Problem Statement</w:t>
      </w:r>
    </w:p>
    <w:p>
      <w:pPr>
        <w:pStyle w:val="FirstParagraph"/>
      </w:pPr>
      <w:r>
        <w:t xml:space="preserve">Despite the Netherlands' reputation for innovative pedagogy, University Lecturers in Amsterdam often operate with fragmented professional development opportunities. Current support systems lack contextual integration with Amsterdam's unique multicultural environment and the specific demands of Dutch higher education frameworks (e.g., Bologna Process alignment, ECTS implementation). Consequently, lecturer effectiveness—measured by student retention, critical thinking development, and intercultural competence—remains inconsistent. This gap is particularly acute in Amsterdam's cosmopolitan setting where 35%+ of students are international (UvA 2023), yet teaching methodologies frequently fail to leverage this diversity as an asset. This Thesis Proposal directly targets this disconnect to empower University Lecturers to thrive in the Netherlands Amsterdam ecosystem.</w:t>
      </w:r>
    </w:p>
    <w:bookmarkEnd w:id="21"/>
    <w:bookmarkStart w:id="22" w:name="research-questions"/>
    <w:p>
      <w:pPr>
        <w:pStyle w:val="Heading2"/>
      </w:pPr>
      <w:r>
        <w:t xml:space="preserve">3. Research Questions</w:t>
      </w:r>
    </w:p>
    <w:p>
      <w:pPr>
        <w:numPr>
          <w:ilvl w:val="0"/>
          <w:numId w:val="1001"/>
        </w:numPr>
        <w:pStyle w:val="Compact"/>
      </w:pPr>
      <w:r>
        <w:t xml:space="preserve">How do current institutional support structures for University Lecturers in Amsterdam universities align with the pedagogical needs of diverse, international cohorts?</w:t>
      </w:r>
    </w:p>
    <w:p>
      <w:pPr>
        <w:numPr>
          <w:ilvl w:val="0"/>
          <w:numId w:val="1001"/>
        </w:numPr>
        <w:pStyle w:val="Compact"/>
      </w:pPr>
      <w:r>
        <w:t xml:space="preserve">What specific teaching innovations (e.g., digital tools, flipped classrooms, intercultural curriculum design) most significantly enhance student engagement and learning outcomes in Netherlands Amsterdam's higher education context?</w:t>
      </w:r>
    </w:p>
    <w:p>
      <w:pPr>
        <w:numPr>
          <w:ilvl w:val="0"/>
          <w:numId w:val="1001"/>
        </w:numPr>
        <w:pStyle w:val="Compact"/>
      </w:pPr>
      <w:r>
        <w:t xml:space="preserve">How can a sustainable framework for lecturer development be co-created with Amsterdam universities to institutionalize evidence-based practices?</w:t>
      </w:r>
    </w:p>
    <w:bookmarkEnd w:id="22"/>
    <w:bookmarkStart w:id="23" w:name="Xd06db6ad1b264e6235529ff381be2b35d2c077c"/>
    <w:p>
      <w:pPr>
        <w:pStyle w:val="Heading2"/>
      </w:pPr>
      <w:r>
        <w:t xml:space="preserve">4. Literature Review: Gaps and Theoretical Foundation</w:t>
      </w:r>
    </w:p>
    <w:p>
      <w:pPr>
        <w:pStyle w:val="FirstParagraph"/>
      </w:pPr>
      <w:r>
        <w:t xml:space="preserve">Existing literature (e.g., Van der Vleuten, 2019; Wijnen-Meijer et al., 2021) identifies strong links between lecturer development and student success but rarely examines the Amsterdam-specific context. Dutch studies often focus on policy rather than classroom implementation (Meijer, 2020). Crucially, no research has holistically analyzed how University Lecturers in Amsterdam navigate the intersection of international student demographics, institutional culture (e.g., UvA’s "Amsterdam Impact" strategy), and digital pedagogy. This proposal builds on transformative learning theory (Mezirow) and the Dutch "Dutch Model of Teaching Excellence" to position lecturer agency as central to educational innovation in Amsterdam.</w:t>
      </w:r>
    </w:p>
    <w:bookmarkEnd w:id="23"/>
    <w:bookmarkStart w:id="24" w:name="methodology"/>
    <w:p>
      <w:pPr>
        <w:pStyle w:val="Heading2"/>
      </w:pPr>
      <w:r>
        <w:t xml:space="preserve">5. Methodology</w:t>
      </w:r>
    </w:p>
    <w:p>
      <w:pPr>
        <w:pStyle w:val="FirstParagraph"/>
      </w:pPr>
      <w:r>
        <w:t xml:space="preserve">This mixed-methods study will employ a three-phase design across 3 Amsterdam universities over 18 months:</w:t>
      </w:r>
    </w:p>
    <w:p>
      <w:pPr>
        <w:numPr>
          <w:ilvl w:val="0"/>
          <w:numId w:val="1002"/>
        </w:numPr>
        <w:pStyle w:val="Compact"/>
      </w:pPr>
      <w:r>
        <w:rPr>
          <w:bCs/>
          <w:b/>
        </w:rPr>
        <w:t xml:space="preserve">Phase 1 (Months 1-4):</w:t>
      </w:r>
      <w:r>
        <w:t xml:space="preserve"> </w:t>
      </w:r>
      <w:r>
        <w:t xml:space="preserve">Institutional analysis via document review of lecturer development policies at UvA, VU, and AUAS; focus groups with current University Lecturers (n=30) to identify systemic barriers.</w:t>
      </w:r>
    </w:p>
    <w:p>
      <w:pPr>
        <w:numPr>
          <w:ilvl w:val="0"/>
          <w:numId w:val="1002"/>
        </w:numPr>
        <w:pStyle w:val="Compact"/>
      </w:pPr>
      <w:r>
        <w:rPr>
          <w:bCs/>
          <w:b/>
        </w:rPr>
        <w:t xml:space="preserve">Phase 2 (Months 5-12):</w:t>
      </w:r>
      <w:r>
        <w:t xml:space="preserve"> </w:t>
      </w:r>
      <w:r>
        <w:t xml:space="preserve">Action research with volunteer lecturers (n=15) implementing tailored interventions (e.g., culturally responsive lesson plans, AI-assisted feedback tools). Pre/post-student surveys measuring engagement and critical thinking using validated scales (e.g., CIRS).</w:t>
      </w:r>
    </w:p>
    <w:p>
      <w:pPr>
        <w:numPr>
          <w:ilvl w:val="0"/>
          <w:numId w:val="1002"/>
        </w:numPr>
        <w:pStyle w:val="Compact"/>
      </w:pPr>
      <w:r>
        <w:rPr>
          <w:bCs/>
          <w:b/>
        </w:rPr>
        <w:t xml:space="preserve">Phase 3 (Months 13-18):</w:t>
      </w:r>
      <w:r>
        <w:t xml:space="preserve"> </w:t>
      </w:r>
      <w:r>
        <w:t xml:space="preserve">Co-design workshops with university pedagogical centers to develop a scalable "Amsterdam Lecturer Toolkit" integrating findings. Quantitative analysis of student performance data across intervention groups.</w:t>
      </w:r>
    </w:p>
    <w:p>
      <w:pPr>
        <w:pStyle w:val="FirstParagraph"/>
      </w:pPr>
      <w:r>
        <w:t xml:space="preserve">Data will be triangulated through surveys, classroom observations, and institutional records. Ethical approval will be secured through Amsterdam University Medical Centers’ ethics board per Netherlands Code of Conduct for Research Integrity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Practical Framework:</w:t>
      </w:r>
      <w:r>
        <w:t xml:space="preserve"> </w:t>
      </w:r>
      <w:r>
        <w:t xml:space="preserve">A freely accessible, Amsterdam-adapted model for University Lecturer development, featuring module templates for intercultural communication (e.g., "Navigating Dutch Classroom Culture with International Students") and digital pedagogy toolkits.</w:t>
      </w:r>
    </w:p>
    <w:p>
      <w:pPr>
        <w:numPr>
          <w:ilvl w:val="0"/>
          <w:numId w:val="1003"/>
        </w:numPr>
        <w:pStyle w:val="Compact"/>
      </w:pPr>
      <w:r>
        <w:rPr>
          <w:bCs/>
          <w:b/>
        </w:rPr>
        <w:t xml:space="preserve">Institutional Impact:</w:t>
      </w:r>
      <w:r>
        <w:t xml:space="preserve"> </w:t>
      </w:r>
      <w:r>
        <w:t xml:space="preserve">Direct collaboration with Amsterdam’s university teaching centers (e.g., UvA's Center for Teaching and Learning) to embed findings into staff development curricula, enhancing the Netherlands' global reputation for teaching quality.</w:t>
      </w:r>
    </w:p>
    <w:p>
      <w:pPr>
        <w:numPr>
          <w:ilvl w:val="0"/>
          <w:numId w:val="1003"/>
        </w:numPr>
        <w:pStyle w:val="Compact"/>
      </w:pPr>
      <w:r>
        <w:rPr>
          <w:bCs/>
          <w:b/>
        </w:rPr>
        <w:t xml:space="preserve">Policy Contribution:</w:t>
      </w:r>
      <w:r>
        <w:t xml:space="preserve"> </w:t>
      </w:r>
      <w:r>
        <w:t xml:space="preserve">Evidence-based recommendations for the Dutch Ministry of Education on supporting lecturer innovation, addressing current gaps highlighted in the 2023 "Netherlands Higher Education Quality Report."</w:t>
      </w:r>
    </w:p>
    <w:p>
      <w:pPr>
        <w:pStyle w:val="FirstParagraph"/>
      </w:pPr>
      <w:r>
        <w:t xml:space="preserve">The significance extends beyond academia: By optimizing University Lecturer effectiveness, this research directly supports Amsterdam's strategic goal to become Europe’s top hub for talent development (Amsterdam Smart City Strategy 2030), ultimately boosting student success rates and the Netherlands’ competitiveness in global education rankings.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 clearance, stakeholder agreements with Amsterdam universities</w:t>
            </w:r>
          </w:p>
        </w:tc>
      </w:tr>
      <w:tr>
        <w:tc>
          <w:tcPr/>
          <w:p>
            <w:pPr>
              <w:pStyle w:val="Compact"/>
              <w:jc w:val="left"/>
            </w:pPr>
            <w:r>
              <w:t xml:space="preserve">Institutional Analysis &amp; Focus Groups</w:t>
            </w:r>
          </w:p>
        </w:tc>
        <w:tc>
          <w:tcPr/>
          <w:p>
            <w:pPr>
              <w:pStyle w:val="Compact"/>
              <w:jc w:val="left"/>
            </w:pPr>
            <w:r>
              <w:t xml:space="preserve">4-6</w:t>
            </w:r>
          </w:p>
        </w:tc>
        <w:tc>
          <w:tcPr/>
          <w:p>
            <w:pPr>
              <w:pStyle w:val="Compact"/>
              <w:jc w:val="left"/>
            </w:pPr>
            <w:r>
              <w:t xml:space="preserve">Report on systemic barriers; Draft lecturer survey instruments</w:t>
            </w:r>
          </w:p>
        </w:tc>
      </w:tr>
      <w:tr>
        <w:tc>
          <w:tcPr/>
          <w:p>
            <w:pPr>
              <w:pStyle w:val="Compact"/>
              <w:jc w:val="left"/>
            </w:pPr>
            <w:r>
              <w:t xml:space="preserve">Action Research Implementation</w:t>
            </w:r>
          </w:p>
        </w:tc>
        <w:tc>
          <w:tcPr/>
          <w:p>
            <w:pPr>
              <w:pStyle w:val="Compact"/>
              <w:jc w:val="left"/>
            </w:pPr>
            <w:r>
              <w:t xml:space="preserve">7-14</w:t>
            </w:r>
          </w:p>
        </w:tc>
        <w:tc>
          <w:tcPr/>
          <w:p>
            <w:pPr>
              <w:pStyle w:val="Compact"/>
              <w:jc w:val="left"/>
            </w:pPr>
            <w:r>
              <w:t xml:space="preserve">Data collection from 15 lecturers; Pilot toolkit version 1.0</w:t>
            </w:r>
          </w:p>
        </w:tc>
      </w:tr>
      <w:tr>
        <w:tc>
          <w:tcPr/>
          <w:p>
            <w:pPr>
              <w:pStyle w:val="Compact"/>
              <w:jc w:val="left"/>
            </w:pPr>
            <w:r>
              <w:t xml:space="preserve">Co-Design &amp; Toolkit Finalization</w:t>
            </w:r>
          </w:p>
        </w:tc>
        <w:tc>
          <w:tcPr/>
          <w:p>
            <w:pPr>
              <w:pStyle w:val="Compact"/>
              <w:jc w:val="left"/>
            </w:pPr>
            <w:r>
              <w:t xml:space="preserve">15-18</w:t>
            </w:r>
          </w:p>
        </w:tc>
        <w:tc>
          <w:tcPr/>
          <w:p>
            <w:pPr>
              <w:pStyle w:val="Compact"/>
              <w:jc w:val="left"/>
            </w:pPr>
            <w:r>
              <w:t xml:space="preserve">"Amsterdam Lecturer Toolkit" v2.0; Policy brief for Dutch Ministry of Education</w:t>
            </w:r>
          </w:p>
        </w:tc>
      </w:tr>
    </w:tbl>
    <w:bookmarkEnd w:id="26"/>
    <w:bookmarkStart w:id="27" w:name="Xf9709a1f77ddf5f17c3518f78e60f944d7e67d1"/>
    <w:p>
      <w:pPr>
        <w:pStyle w:val="Heading2"/>
      </w:pPr>
      <w:r>
        <w:t xml:space="preserve">8. Conclusion: Alignment with Netherlands Amsterdam Vision</w:t>
      </w:r>
    </w:p>
    <w:p>
      <w:pPr>
        <w:pStyle w:val="FirstParagraph"/>
      </w:pPr>
      <w:r>
        <w:t xml:space="preserve">This Thesis Proposal transcends conventional academic inquiry by centering the University Lecturer’s role within the unique dynamism of Amsterdam as a global city and educational nexus. It directly responds to the Netherlands’ strategic priorities outlined in "Education, Science and Innovation 2030" (Nederlandse Overheid, 2021), which emphasizes "innovative teaching in international settings." By grounding research in Amsterdam’s specific socio-academic fabric—from the city’s UNESCO Creative Cities designation to its EU-funded innovation labs—the study ensures immediate applicability. The proposed framework will not only elevate individual University Lecturer performance but also strengthen the Netherlands’ position as a leader in adaptive, human-centered higher education. Ultimately, this Thesis Proposal embodies the commitment required to shape future generations of educators and students in the heart of Europe’s most vibrant academic capital: Amsterdam.</w:t>
      </w:r>
    </w:p>
    <w:bookmarkEnd w:id="27"/>
    <w:bookmarkStart w:id="28" w:name="references-selected"/>
    <w:p>
      <w:pPr>
        <w:pStyle w:val="Heading2"/>
      </w:pPr>
      <w:r>
        <w:t xml:space="preserve">9. References (Selected)</w:t>
      </w:r>
    </w:p>
    <w:p>
      <w:pPr>
        <w:numPr>
          <w:ilvl w:val="0"/>
          <w:numId w:val="1004"/>
        </w:numPr>
        <w:pStyle w:val="Compact"/>
      </w:pPr>
      <w:r>
        <w:t xml:space="preserve">Meijer, P.M., et al. (2020). *Teaching Excellence in Dutch Universities*. Springer.</w:t>
      </w:r>
    </w:p>
    <w:p>
      <w:pPr>
        <w:numPr>
          <w:ilvl w:val="0"/>
          <w:numId w:val="1004"/>
        </w:numPr>
        <w:pStyle w:val="Compact"/>
      </w:pPr>
      <w:r>
        <w:t xml:space="preserve">Nederlandse Overheid. (2021). *Education, Science and Innovation 2030 Strategy*.</w:t>
      </w:r>
    </w:p>
    <w:p>
      <w:pPr>
        <w:numPr>
          <w:ilvl w:val="0"/>
          <w:numId w:val="1004"/>
        </w:numPr>
        <w:pStyle w:val="Compact"/>
      </w:pPr>
      <w:r>
        <w:t xml:space="preserve">University of Amsterdam. (2023). *International Student Statistics Report*.</w:t>
      </w:r>
    </w:p>
    <w:p>
      <w:pPr>
        <w:numPr>
          <w:ilvl w:val="0"/>
          <w:numId w:val="1004"/>
        </w:numPr>
        <w:pStyle w:val="Compact"/>
      </w:pPr>
      <w:r>
        <w:t xml:space="preserve">Wijnen-Meijer, M., et al. (2021). "Innovative Pedagogy in Dutch Higher Education." *Higher Education Research &amp; Development*, 40(5), 987–1002.</w:t>
      </w:r>
    </w:p>
    <w:p>
      <w:pPr>
        <w:numPr>
          <w:ilvl w:val="0"/>
          <w:numId w:val="1004"/>
        </w:numPr>
        <w:pStyle w:val="Compact"/>
      </w:pPr>
      <w:r>
        <w:t xml:space="preserve">Van der Vleuten, C.P.M. (2019). "The Art of Teaching: A Dutch Perspective." *Medical Teacher*, 41(5), 493–496.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Netherlands Amsterdam Context</dc:title>
  <dc:creator/>
  <dc:language>en</dc:language>
  <cp:keywords/>
  <dcterms:created xsi:type="dcterms:W3CDTF">2026-07-23T00:34:54Z</dcterms:created>
  <dcterms:modified xsi:type="dcterms:W3CDTF">2026-07-23T00:34:54Z</dcterms:modified>
</cp:coreProperties>
</file>

<file path=docProps/custom.xml><?xml version="1.0" encoding="utf-8"?>
<Properties xmlns="http://schemas.openxmlformats.org/officeDocument/2006/custom-properties" xmlns:vt="http://schemas.openxmlformats.org/officeDocument/2006/docPropsVTypes"/>
</file>