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Pedagogy</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bb2f452ebb96c3eb72f4851ebdc78e0ababb414"/>
    <w:p>
      <w:pPr>
        <w:pStyle w:val="Heading1"/>
      </w:pPr>
      <w:r>
        <w:t xml:space="preserve">Thesis Proposal: Enhancing Inclusive Pedagogy in Higher Education through the Lens of University Lecturers in South Africa Cape Town</w:t>
      </w:r>
    </w:p>
    <w:bookmarkStart w:id="20" w:name="introduction-and-background"/>
    <w:p>
      <w:pPr>
        <w:pStyle w:val="Heading2"/>
      </w:pPr>
      <w:r>
        <w:t xml:space="preserve">Introduction and Background</w:t>
      </w:r>
    </w:p>
    <w:p>
      <w:pPr>
        <w:pStyle w:val="FirstParagraph"/>
      </w:pPr>
      <w:r>
        <w:t xml:space="preserve">In the dynamic higher education landscape of South Africa Cape Town, where institutions like the University of Cape Town (UCT) and Stellenbosch University serve as national pillars of academic excellence, a critical challenge persists: ensuring equitable learning experiences for all students. As a prospective</w:t>
      </w:r>
      <w:r>
        <w:t xml:space="preserve"> </w:t>
      </w:r>
      <w:r>
        <w:rPr>
          <w:bCs/>
          <w:b/>
        </w:rPr>
        <w:t xml:space="preserve">University Lecturer</w:t>
      </w:r>
      <w:r>
        <w:t xml:space="preserve"> </w:t>
      </w:r>
      <w:r>
        <w:t xml:space="preserve">committed to transformative education, this</w:t>
      </w:r>
      <w:r>
        <w:t xml:space="preserve"> </w:t>
      </w:r>
      <w:r>
        <w:rPr>
          <w:bCs/>
          <w:b/>
        </w:rPr>
        <w:t xml:space="preserve">Thesis Proposal</w:t>
      </w:r>
      <w:r>
        <w:t xml:space="preserve"> </w:t>
      </w:r>
      <w:r>
        <w:t xml:space="preserve">addresses the urgent need for contextually relevant pedagogical frameworks that respond to Cape Town's unique socio-educational complexities. South Africa's higher education system, despite post-apartheid reforms, continues to grapple with legacy disparities in access and outcomes. In Cape Town—a city marked by stark socioeconomic divides between affluent suburbs and peri-urban townships—these challenges manifest acutely. This research interrogates how</w:t>
      </w:r>
      <w:r>
        <w:t xml:space="preserve"> </w:t>
      </w:r>
      <w:r>
        <w:rPr>
          <w:bCs/>
          <w:b/>
        </w:rPr>
        <w:t xml:space="preserve">University Lecturers</w:t>
      </w:r>
      <w:r>
        <w:t xml:space="preserve"> </w:t>
      </w:r>
      <w:r>
        <w:t xml:space="preserve">can strategically implement inclusive pedagogy to bridge these gaps, directly contributing to the national vision of an accessible, equitable education system.</w:t>
      </w:r>
    </w:p>
    <w:bookmarkEnd w:id="20"/>
    <w:bookmarkStart w:id="21" w:name="problem-statement"/>
    <w:p>
      <w:pPr>
        <w:pStyle w:val="Heading2"/>
      </w:pPr>
      <w:r>
        <w:t xml:space="preserve">Problem Statement</w:t>
      </w:r>
    </w:p>
    <w:p>
      <w:pPr>
        <w:pStyle w:val="FirstParagraph"/>
      </w:pPr>
      <w:r>
        <w:t xml:space="preserve">Evidence from the South African Council for Higher Education (SACHE) reveals persistent underperformance among Black and low-income students in Cape Town's universities. Crucially, this is not merely a resource deficit but a pedagogical crisis: many</w:t>
      </w:r>
      <w:r>
        <w:t xml:space="preserve"> </w:t>
      </w:r>
      <w:r>
        <w:rPr>
          <w:bCs/>
          <w:b/>
        </w:rPr>
        <w:t xml:space="preserve">University Lecturers</w:t>
      </w:r>
      <w:r>
        <w:t xml:space="preserve">, despite good intentions, deploy standardized teaching methods that fail to account for diverse cultural backgrounds, language proficiencies (e.g., isiXhosa and Afrikaans speakers in Cape Town), and socioeconomic realities. A 2023 UCT study found 68% of lecturers admitted uncertainty about adapting curricula for students from township communities. Consequently, student retention rates in STEM fields remain below national averages, particularly for Black female students—exacerbating Cape Town's skills deficit in critical sectors like renewable energy and digital innovation. This</w:t>
      </w:r>
      <w:r>
        <w:t xml:space="preserve"> </w:t>
      </w:r>
      <w:r>
        <w:rPr>
          <w:bCs/>
          <w:b/>
        </w:rPr>
        <w:t xml:space="preserve">Thesis Proposal</w:t>
      </w:r>
      <w:r>
        <w:t xml:space="preserve"> </w:t>
      </w:r>
      <w:r>
        <w:t xml:space="preserve">contends that without targeted research into lecturer practices within the specific South Africa Cape Town context, systemic inequities will endure.</w:t>
      </w:r>
    </w:p>
    <w:bookmarkEnd w:id="21"/>
    <w:bookmarkStart w:id="22" w:name="literature-review-synthesized"/>
    <w:p>
      <w:pPr>
        <w:pStyle w:val="Heading2"/>
      </w:pPr>
      <w:r>
        <w:t xml:space="preserve">Literature Review (Synthesized)</w:t>
      </w:r>
    </w:p>
    <w:p>
      <w:pPr>
        <w:pStyle w:val="FirstParagraph"/>
      </w:pPr>
      <w:r>
        <w:t xml:space="preserve">Existing scholarship on inclusive pedagogy often originates from Western contexts and overlooks Africa's post-colonial realities. While scholars like Ladson-Billings (1995) advocate for culturally sustaining practices, their frameworks rarely incorporate South African epistemologies or Cape Town’s urban-rural educational disparities. Recent local studies (e.g., Mthembu, 2022) identify "pedagogical tokenism" among Cape Town lecturers—superficial diversity gestures without structural change. Conversely, the concept of</w:t>
      </w:r>
      <w:r>
        <w:t xml:space="preserve"> </w:t>
      </w:r>
      <w:r>
        <w:rPr>
          <w:iCs/>
          <w:i/>
        </w:rPr>
        <w:t xml:space="preserve">Ubuntu</w:t>
      </w:r>
      <w:r>
        <w:t xml:space="preserve"> </w:t>
      </w:r>
      <w:r>
        <w:t xml:space="preserve">(humanity towards others) offers a potent South African philosophical anchor for pedagogy, yet it remains underutilized in lecturer training. This research bridges these gaps by centering Cape Town as a microcosm of South Africa's educational challenges and leveraging local knowledge systems to develop actionable strategies for</w:t>
      </w:r>
      <w:r>
        <w:t xml:space="preserve"> </w:t>
      </w:r>
      <w:r>
        <w:rPr>
          <w:bCs/>
          <w:b/>
        </w:rPr>
        <w:t xml:space="preserve">University Lecturers</w:t>
      </w:r>
      <w:r>
        <w:t xml:space="preserve">.</w:t>
      </w:r>
    </w:p>
    <w:bookmarkEnd w:id="22"/>
    <w:bookmarkStart w:id="23" w:name="research-questions-and-objectives"/>
    <w:p>
      <w:pPr>
        <w:pStyle w:val="Heading2"/>
      </w:pPr>
      <w:r>
        <w:t xml:space="preserve">Research Questions and Objectives</w:t>
      </w:r>
    </w:p>
    <w:p>
      <w:pPr>
        <w:pStyle w:val="FirstParagraph"/>
      </w:pPr>
      <w:r>
        <w:rPr>
          <w:bCs/>
          <w:b/>
        </w:rPr>
        <w:t xml:space="preserve">Primary Question:</w:t>
      </w:r>
      <w:r>
        <w:t xml:space="preserve"> </w:t>
      </w:r>
      <w:r>
        <w:t xml:space="preserve">How do University Lecturers in Cape Town institutions integrate culturally responsive pedagogy to foster inclusive learning environments that address the specific needs of students from historically marginalized communities?</w:t>
      </w:r>
    </w:p>
    <w:p>
      <w:pPr>
        <w:pStyle w:val="BodyText"/>
      </w:pPr>
      <w:r>
        <w:rPr>
          <w:bCs/>
          <w:b/>
        </w:rPr>
        <w:t xml:space="preserve">Secondary Questions:</w:t>
      </w:r>
    </w:p>
    <w:p>
      <w:pPr>
        <w:numPr>
          <w:ilvl w:val="0"/>
          <w:numId w:val="1001"/>
        </w:numPr>
        <w:pStyle w:val="Compact"/>
      </w:pPr>
      <w:r>
        <w:t xml:space="preserve">To what extent do institutional policies support or hinder lecturer efforts toward inclusive pedagogy in South Africa Cape Town?</w:t>
      </w:r>
    </w:p>
    <w:p>
      <w:pPr>
        <w:numPr>
          <w:ilvl w:val="0"/>
          <w:numId w:val="1001"/>
        </w:numPr>
        <w:pStyle w:val="Compact"/>
      </w:pPr>
      <w:r>
        <w:t xml:space="preserve">How do socio-spatial factors (e.g., proximity to townships like Langa or Khayelitsha) influence teaching approaches?</w:t>
      </w:r>
    </w:p>
    <w:p>
      <w:pPr>
        <w:pStyle w:val="FirstParagraph"/>
      </w:pPr>
      <w:r>
        <w:rPr>
          <w:bCs/>
          <w:b/>
        </w:rPr>
        <w:t xml:space="preserve">Objectives:</w:t>
      </w:r>
    </w:p>
    <w:p>
      <w:pPr>
        <w:numPr>
          <w:ilvl w:val="0"/>
          <w:numId w:val="1002"/>
        </w:numPr>
        <w:pStyle w:val="Compact"/>
      </w:pPr>
      <w:r>
        <w:t xml:space="preserve">Document current inclusive pedagogy practices among 15 University Lecturers across three Cape Town universities.</w:t>
      </w:r>
    </w:p>
    <w:p>
      <w:pPr>
        <w:numPr>
          <w:ilvl w:val="0"/>
          <w:numId w:val="1002"/>
        </w:numPr>
        <w:pStyle w:val="Compact"/>
      </w:pPr>
      <w:r>
        <w:t xml:space="preserve">Co-design a contextualized "Inclusive Pedagogy Toolkit" with lecturers and student representatives from diverse backgrounds.</w:t>
      </w:r>
    </w:p>
    <w:p>
      <w:pPr>
        <w:numPr>
          <w:ilvl w:val="0"/>
          <w:numId w:val="1002"/>
        </w:numPr>
        <w:pStyle w:val="Compact"/>
      </w:pPr>
      <w:r>
        <w:t xml:space="preserve">Evaluate the impact of pilot toolkit implementation on student engagement in South Africa Cape Town classrooms (2024–2025).</w:t>
      </w:r>
    </w:p>
    <w:bookmarkEnd w:id="23"/>
    <w:bookmarkStart w:id="24" w:name="methodology"/>
    <w:p>
      <w:pPr>
        <w:pStyle w:val="Heading2"/>
      </w:pPr>
      <w:r>
        <w:t xml:space="preserve">Methodology</w:t>
      </w:r>
    </w:p>
    <w:p>
      <w:pPr>
        <w:pStyle w:val="FirstParagraph"/>
      </w:pPr>
      <w:r>
        <w:t xml:space="preserve">This mixed-methods study employs a participatory action research (PAR) approach, essential for ethical and contextually grounded inquiry in South Africa. Phase 1 involves qualitative interviews with 30 University Lecturers (stratified by gender, race, and faculty) from UCT, University of the Western Cape (UWC), and Cape Peninsula University of Technology (CPUT). Phase 2 deploys focus groups with 50 students from underrepresented backgrounds to co-analyze teaching challenges. Phase 3 tests the developed Toolkit in four classrooms using pre/post surveys measuring student belonging, critical thinking, and participation—aligned with South Africa’s National Qualifications Framework (NQF) outcomes. Data triangulation will include classroom observations and institutional policy analysis. Crucially, all research activities will be conducted under the ethical protocols of the Human Research Ethics Committee (HREC) at UCT, ensuring community consent and benefit-sharing in South Africa Cape Town.</w:t>
      </w:r>
    </w:p>
    <w:bookmarkEnd w:id="24"/>
    <w:bookmarkStart w:id="25" w:name="expected-outcomes-and-significance"/>
    <w:p>
      <w:pPr>
        <w:pStyle w:val="Heading2"/>
      </w:pPr>
      <w:r>
        <w:t xml:space="preserve">Expected Outcomes and Significance</w:t>
      </w:r>
    </w:p>
    <w:p>
      <w:pPr>
        <w:pStyle w:val="FirstParagraph"/>
      </w:pPr>
      <w:r>
        <w:t xml:space="preserve">This research promises three transformative contributions. First, it will produce the first empirically validated pedagogical framework specifically for University Lecturers operating within South Africa Cape Town's socio-spatial realities—a direct response to the Department of Higher Education and Training’s 2030 Strategy for Inclusive Pedagogy. Second, the co-created Toolkit will equip lecturers with practical resources (e.g., language-sensitive assessment rubrics, community-based case studies) that can be scaled across South Africa. Third, by centering student voices from Cape Town’s townships—often excluded from such research—the project advances decolonial praxis in higher education. These outcomes directly align with the University of Cape Town’s 2023 "Equity and Transformation" initiative and offer scalable models for other African cities facing similar educational divides.</w:t>
      </w:r>
    </w:p>
    <w:bookmarkEnd w:id="25"/>
    <w:bookmarkStart w:id="26" w:name="timeline-20-month-project"/>
    <w:p>
      <w:pPr>
        <w:pStyle w:val="Heading2"/>
      </w:pPr>
      <w:r>
        <w:t xml:space="preserve">Timeline (20-month Project)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c>
          <w:tcPr/>
          <w:p>
            <w:pPr>
              <w:pStyle w:val="Compact"/>
            </w:pP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research instruments; HREC approval</w:t>
            </w:r>
          </w:p>
        </w:tc>
        <w:tc>
          <w:tcPr/>
          <w:p>
            <w:pPr>
              <w:pStyle w:val="Compact"/>
            </w:pPr>
          </w:p>
        </w:tc>
      </w:tr>
      <w:tr>
        <w:tc>
          <w:tcPr/>
          <w:p>
            <w:pPr>
              <w:pStyle w:val="Compact"/>
              <w:jc w:val="left"/>
            </w:pPr>
            <w:r>
              <w:t xml:space="preserve">Data Collection (Lecturers/Students)</w:t>
            </w:r>
          </w:p>
        </w:tc>
        <w:tc>
          <w:tcPr/>
          <w:p>
            <w:pPr>
              <w:pStyle w:val="Compact"/>
              <w:jc w:val="left"/>
            </w:pPr>
            <w:r>
              <w:t xml:space="preserve">4–8</w:t>
            </w:r>
          </w:p>
        </w:tc>
        <w:tc>
          <w:tcPr/>
          <w:p>
            <w:pPr>
              <w:pStyle w:val="Compact"/>
              <w:jc w:val="left"/>
            </w:pPr>
            <w:r>
              <w:t xml:space="preserve">Transcribed interviews; focus group reports</w:t>
            </w:r>
          </w:p>
        </w:tc>
        <w:tc>
          <w:tcPr/>
          <w:p>
            <w:pPr>
              <w:pStyle w:val="Compact"/>
            </w:pPr>
          </w:p>
        </w:tc>
      </w:tr>
      <w:tr>
        <w:tc>
          <w:tcPr/>
          <w:p>
            <w:pPr>
              <w:pStyle w:val="Compact"/>
              <w:jc w:val="left"/>
            </w:pPr>
            <w:r>
              <w:t xml:space="preserve">Toolkit Co-creation Workshop Series</w:t>
            </w:r>
          </w:p>
        </w:tc>
        <w:tc>
          <w:tcPr/>
          <w:p>
            <w:pPr>
              <w:pStyle w:val="Compact"/>
              <w:jc w:val="left"/>
            </w:pPr>
            <w:r>
              <w:t xml:space="preserve">9–12</w:t>
            </w:r>
          </w:p>
        </w:tc>
        <w:tc>
          <w:tcPr>
            <w:gridSpan w:val="2"/>
          </w:tcPr>
          <w:p>
            <w:pPr>
              <w:pStyle w:val="Compact"/>
              <w:jc w:val="left"/>
            </w:pPr>
            <w:r>
              <w:t xml:space="preserve">Developed Toolkit draft (with lecturer/student input)</w:t>
            </w:r>
          </w:p>
        </w:tc>
      </w:tr>
      <w:tr>
        <w:tc>
          <w:tcPr/>
          <w:p>
            <w:pPr>
              <w:pStyle w:val="Compact"/>
              <w:jc w:val="left"/>
            </w:pPr>
            <w:r>
              <w:t xml:space="preserve">Pilot Implementation &amp; Evaluation</w:t>
            </w:r>
          </w:p>
        </w:tc>
        <w:tc>
          <w:tcPr/>
          <w:p>
            <w:pPr>
              <w:pStyle w:val="Compact"/>
              <w:jc w:val="left"/>
            </w:pPr>
            <w:r>
              <w:t xml:space="preserve">13–18</w:t>
            </w:r>
          </w:p>
        </w:tc>
        <w:tc>
          <w:tcPr>
            <w:gridSpan w:val="2"/>
          </w:tcPr>
          <w:p>
            <w:pPr>
              <w:pStyle w:val="Compact"/>
              <w:jc w:val="left"/>
            </w:pPr>
            <w:r>
              <w:t xml:space="preserve">Quantitative/qualitative impact assessment; revised Toolkit</w:t>
            </w:r>
          </w:p>
        </w:tc>
      </w:tr>
      <w:tr>
        <w:tc>
          <w:tcPr/>
          <w:p>
            <w:pPr>
              <w:pStyle w:val="Compact"/>
              <w:jc w:val="left"/>
            </w:pPr>
            <w:r>
              <w:t xml:space="preserve">Dissemination &amp; Policy Briefing</w:t>
            </w:r>
          </w:p>
        </w:tc>
        <w:tc>
          <w:tcPr/>
          <w:p>
            <w:pPr>
              <w:pStyle w:val="Compact"/>
              <w:jc w:val="left"/>
            </w:pPr>
            <w:r>
              <w:t xml:space="preserve">19–20</w:t>
            </w:r>
          </w:p>
        </w:tc>
        <w:tc>
          <w:tcPr>
            <w:gridSpan w:val="2"/>
          </w:tcPr>
          <w:p>
            <w:pPr>
              <w:pStyle w:val="Compact"/>
              <w:jc w:val="left"/>
            </w:pPr>
            <w:r>
              <w:t xml:space="preserve">Final Thesis; institutional policy recommendations for South Africa Cape Town universities</w:t>
            </w:r>
          </w:p>
        </w:tc>
      </w:tr>
    </w:tbl>
    <w:bookmarkEnd w:id="26"/>
    <w:bookmarkStart w:id="27" w:name="X7246ec7e3d005a6bbdae29cf4905df1d75a1cee"/>
    <w:p>
      <w:pPr>
        <w:pStyle w:val="Heading2"/>
      </w:pPr>
      <w:r>
        <w:t xml:space="preserve">Conclusion: Commitment to South Africa's Educational Future</w:t>
      </w:r>
    </w:p>
    <w:p>
      <w:pPr>
        <w:pStyle w:val="FirstParagraph"/>
      </w:pPr>
      <w:r>
        <w:t xml:space="preserve">This</w:t>
      </w:r>
      <w:r>
        <w:t xml:space="preserve"> </w:t>
      </w:r>
      <w:r>
        <w:rPr>
          <w:bCs/>
          <w:b/>
        </w:rPr>
        <w:t xml:space="preserve">Thesis Proposal</w:t>
      </w:r>
      <w:r>
        <w:t xml:space="preserve"> </w:t>
      </w:r>
      <w:r>
        <w:t xml:space="preserve">is not merely an academic exercise—it is a call to action for the profession. As South Africa Cape Town’s University Lecturers stand at the frontlines of educational transformation, this research empowers them as agents of change. By grounding pedagogical innovation in local realities rather than imported theories, it addresses a critical gap in higher education scholarship while contributing directly to national imperatives like the National Development Plan 2030. The outcomes will provide tangible tools for lecturers navigating Cape Town's complex educational terrain, ultimately fostering classrooms where every student—regardless of origin—can thrive. In this way, the research embodies the spirit of Ubuntu: recognizing that our collective academic growth depends on uplifting each other. This</w:t>
      </w:r>
      <w:r>
        <w:t xml:space="preserve"> </w:t>
      </w:r>
      <w:r>
        <w:rPr>
          <w:bCs/>
          <w:b/>
        </w:rPr>
        <w:t xml:space="preserve">Thesis Proposal</w:t>
      </w:r>
      <w:r>
        <w:t xml:space="preserve"> </w:t>
      </w:r>
      <w:r>
        <w:t xml:space="preserve">commits to making South Africa Cape Town a beacon for inclusive higher education across Africa.</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Pedagogy for University Lecturers in South Africa Cape Town</dc:title>
  <dc:creator/>
  <dc:language>en</dc:language>
  <cp:keywords/>
  <dcterms:created xsi:type="dcterms:W3CDTF">2026-07-23T16:52:01Z</dcterms:created>
  <dcterms:modified xsi:type="dcterms:W3CDTF">2026-07-23T16:52:01Z</dcterms:modified>
</cp:coreProperties>
</file>

<file path=docProps/custom.xml><?xml version="1.0" encoding="utf-8"?>
<Properties xmlns="http://schemas.openxmlformats.org/officeDocument/2006/custom-properties" xmlns:vt="http://schemas.openxmlformats.org/officeDocument/2006/docPropsVTypes"/>
</file>