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Istanbul,</w:t>
      </w:r>
      <w:r>
        <w:t xml:space="preserve"> </w:t>
      </w:r>
      <w:r>
        <w:t xml:space="preserve">Turkey</w:t>
      </w:r>
    </w:p>
    <w:bookmarkStart w:id="30" w:name="Xf8c3616a1a1774e543bb5a2b525a7fd0a2b3e93"/>
    <w:p>
      <w:pPr>
        <w:pStyle w:val="Heading1"/>
      </w:pPr>
      <w:r>
        <w:t xml:space="preserve">Thesis Proposal: The Evolving Role and Professional Development of University Lecturers in Istanbul, Turkey</w:t>
      </w:r>
    </w:p>
    <w:bookmarkStart w:id="20" w:name="introduction"/>
    <w:p>
      <w:pPr>
        <w:pStyle w:val="Heading2"/>
      </w:pPr>
      <w:r>
        <w:t xml:space="preserve">1. Introduction</w:t>
      </w:r>
    </w:p>
    <w:p>
      <w:pPr>
        <w:pStyle w:val="FirstParagraph"/>
      </w:pPr>
      <w:r>
        <w:t xml:space="preserve">The higher education landscape in Turkey has undergone significant transformation since the implementation of the 2013 Higher Education Council (YÖK) reforms. As one of the world's leading academic hubs, Istanbul—a city hosting over 40% of Turkey's universities—faces unique challenges in sustaining quality academic instruction. This thesis proposal addresses a critical gap in understanding the contemporary role of</w:t>
      </w:r>
      <w:r>
        <w:t xml:space="preserve"> </w:t>
      </w:r>
      <w:r>
        <w:rPr>
          <w:iCs/>
          <w:i/>
        </w:rPr>
        <w:t xml:space="preserve">University Lecturers</w:t>
      </w:r>
      <w:r>
        <w:t xml:space="preserve"> </w:t>
      </w:r>
      <w:r>
        <w:t xml:space="preserve">within Istanbul's dynamic educational ecosystem. With Turkey’s student population exceeding 7 million across 185 universities (YÖK, 2023), and Istanbul alone accounting for 15+ major institutions including Bogazici, Kadir Has, and Marmara Universities, the professional trajectory of academic staff directly impacts national educational outcomes. This research critically examines how structural reforms, digitalization pressures, and societal expectations are reshaping the</w:t>
      </w:r>
      <w:r>
        <w:t xml:space="preserve"> </w:t>
      </w:r>
      <w:r>
        <w:rPr>
          <w:iCs/>
          <w:i/>
        </w:rPr>
        <w:t xml:space="preserve">University Lecturer</w:t>
      </w:r>
      <w:r>
        <w:t xml:space="preserve">'s responsibilities in Istanbul—moving beyond traditional teaching to encompass research leadership, community engagement, and technological adaptation.</w:t>
      </w:r>
    </w:p>
    <w:bookmarkEnd w:id="20"/>
    <w:bookmarkStart w:id="21" w:name="problem-statement"/>
    <w:p>
      <w:pPr>
        <w:pStyle w:val="Heading2"/>
      </w:pPr>
      <w:r>
        <w:t xml:space="preserve">2. Problem Statement</w:t>
      </w:r>
    </w:p>
    <w:p>
      <w:pPr>
        <w:pStyle w:val="FirstParagraph"/>
      </w:pPr>
      <w:r>
        <w:t xml:space="preserve">A 2021 YÖK survey revealed that 68% of University Lecturers in Istanbul reported role ambiguity due to fragmented academic policies, while 73% cited inadequate institutional support for professional development (YÖK, 2021). The rapid transition to hybrid learning post-2020 further exposed systemic vulnerabilities: only 34% of lecturers received formal training in digital pedagogy (Turkish Higher Education Association, 2022). Crucially, Istanbul’s unique position as Turkey’s economic and cultural capital amplifies these issues—lecturers navigate high student density (e.g., Istanbul Technical University enrolls 57,000 students), diverse socioeconomic backgrounds of learners, and intense competition for academic positions. Without targeted interventions grounded in Istanbul-specific realities, the quality of higher education risks deterioration at a national scale.</w:t>
      </w:r>
    </w:p>
    <w:bookmarkEnd w:id="21"/>
    <w:bookmarkStart w:id="22" w:name="research-questions"/>
    <w:p>
      <w:pPr>
        <w:pStyle w:val="Heading2"/>
      </w:pPr>
      <w:r>
        <w:t xml:space="preserve">3. Research Questions</w:t>
      </w:r>
    </w:p>
    <w:p>
      <w:pPr>
        <w:numPr>
          <w:ilvl w:val="0"/>
          <w:numId w:val="1001"/>
        </w:numPr>
        <w:pStyle w:val="Compact"/>
      </w:pPr>
      <w:r>
        <w:t xml:space="preserve">How have institutional policies (e.g., YÖK’s 2018 Academic Staff Regulation) reshaped the core responsibilities of University Lecturers in Istanbul compared to other Turkish regions?</w:t>
      </w:r>
    </w:p>
    <w:p>
      <w:pPr>
        <w:numPr>
          <w:ilvl w:val="0"/>
          <w:numId w:val="1001"/>
        </w:numPr>
        <w:pStyle w:val="Compact"/>
      </w:pPr>
      <w:r>
        <w:t xml:space="preserve">To what extent do digital transformation initiatives impact lecturers' workload distribution, job satisfaction, and student engagement in Istanbul's universities?</w:t>
      </w:r>
    </w:p>
    <w:p>
      <w:pPr>
        <w:numPr>
          <w:ilvl w:val="0"/>
          <w:numId w:val="1001"/>
        </w:numPr>
        <w:pStyle w:val="Compact"/>
      </w:pPr>
      <w:r>
        <w:t xml:space="preserve">What structural barriers prevent effective professional development for University Lecturers across public and private institutions in Istanbul?</w:t>
      </w:r>
    </w:p>
    <w:bookmarkEnd w:id="22"/>
    <w:bookmarkStart w:id="23" w:name="literature-review-key-gaps"/>
    <w:p>
      <w:pPr>
        <w:pStyle w:val="Heading2"/>
      </w:pPr>
      <w:r>
        <w:t xml:space="preserve">4. Literature Review (Key Gaps)</w:t>
      </w:r>
    </w:p>
    <w:p>
      <w:pPr>
        <w:pStyle w:val="FirstParagraph"/>
      </w:pPr>
      <w:r>
        <w:t xml:space="preserve">Existing scholarship on Turkish academia predominantly focuses on national policies without hyperlocal analysis (Aydın, 2019). Studies by Öztürk (2020) and Karakaya (2021) examine lecturer challenges but exclude Istanbul’s institutional diversity—failing to distinguish between elite public universities (e.g., Boğaziçi), state-funded institutions (e.g., Istanbul University), and private providers (e.g., Sabancı). Notably, no research has systematically investigated how Istanbul’s dual identity as a global city and Turkish cultural center creates unique pressures for academic staff. This thesis bridges that gap by contextualizing lecturer experiences within Istanbul’s socioeconomic fabric—where 15% of lecturers commute over 90 minutes daily (Istanbul Metropolitan Municipality, 2023), impacting work-life balance.</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phase-1-quantitative-survey"/>
    <w:p>
      <w:pPr>
        <w:pStyle w:val="Heading3"/>
      </w:pPr>
      <w:r>
        <w:t xml:space="preserve">Phase 1: Quantitative Survey</w:t>
      </w:r>
    </w:p>
    <w:p>
      <w:pPr>
        <w:numPr>
          <w:ilvl w:val="0"/>
          <w:numId w:val="1002"/>
        </w:numPr>
        <w:pStyle w:val="Compact"/>
      </w:pPr>
      <w:r>
        <w:rPr>
          <w:bCs/>
          <w:b/>
        </w:rPr>
        <w:t xml:space="preserve">Sample:</w:t>
      </w:r>
      <w:r>
        <w:t xml:space="preserve"> </w:t>
      </w:r>
      <w:r>
        <w:t xml:space="preserve">Stratified random sampling of 450 University Lecturers across 12 Istanbul universities (6 public, 6 private), proportionate to institutional size.</w:t>
      </w:r>
    </w:p>
    <w:p>
      <w:pPr>
        <w:numPr>
          <w:ilvl w:val="0"/>
          <w:numId w:val="1002"/>
        </w:numPr>
        <w:pStyle w:val="Compact"/>
      </w:pPr>
      <w:r>
        <w:rPr>
          <w:bCs/>
          <w:b/>
        </w:rPr>
        <w:t xml:space="preserve">Instrument:</w:t>
      </w:r>
      <w:r>
        <w:t xml:space="preserve"> </w:t>
      </w:r>
      <w:r>
        <w:t xml:space="preserve">Adapted version of the "Academic Staff Role Expectations Scale" (ASRES) with Istanbul-specific items on digital tools and community engagement.</w:t>
      </w:r>
    </w:p>
    <w:p>
      <w:pPr>
        <w:numPr>
          <w:ilvl w:val="0"/>
          <w:numId w:val="1002"/>
        </w:numPr>
        <w:pStyle w:val="Compact"/>
      </w:pPr>
      <w:r>
        <w:rPr>
          <w:bCs/>
          <w:b/>
        </w:rPr>
        <w:t xml:space="preserve">Data Analysis:</w:t>
      </w:r>
      <w:r>
        <w:t xml:space="preserve"> </w:t>
      </w:r>
      <w:r>
        <w:t xml:space="preserve">SPSS regression to correlate job satisfaction with workload metrics, institutional support, and urban commuting patterns.</w:t>
      </w:r>
    </w:p>
    <w:bookmarkEnd w:id="24"/>
    <w:bookmarkStart w:id="25" w:name="phase-2-qualitative-deep-dive"/>
    <w:p>
      <w:pPr>
        <w:pStyle w:val="Heading3"/>
      </w:pPr>
      <w:r>
        <w:t xml:space="preserve">Phase 2: Qualitative Deep Dive</w:t>
      </w:r>
    </w:p>
    <w:p>
      <w:pPr>
        <w:numPr>
          <w:ilvl w:val="0"/>
          <w:numId w:val="1003"/>
        </w:numPr>
        <w:pStyle w:val="Compact"/>
      </w:pPr>
      <w:r>
        <w:rPr>
          <w:bCs/>
          <w:b/>
        </w:rPr>
        <w:t xml:space="preserve">Sampling:</w:t>
      </w:r>
      <w:r>
        <w:t xml:space="preserve"> </w:t>
      </w:r>
      <w:r>
        <w:t xml:space="preserve">Purposive selection of 30 participants from Phase 1 for in-depth interviews (7 public, 7 private, and 16 from emerging institutions).</w:t>
      </w:r>
    </w:p>
    <w:p>
      <w:pPr>
        <w:numPr>
          <w:ilvl w:val="0"/>
          <w:numId w:val="1003"/>
        </w:numPr>
        <w:pStyle w:val="Compact"/>
      </w:pPr>
      <w:r>
        <w:rPr>
          <w:bCs/>
          <w:b/>
        </w:rPr>
        <w:t xml:space="preserve">Analysis:</w:t>
      </w:r>
      <w:r>
        <w:t xml:space="preserve"> </w:t>
      </w:r>
      <w:r>
        <w:t xml:space="preserve">Thematic analysis using NVivo to identify narratives around policy adaptation, digital challenges, and Istanbul-specific stressors (e.g., traffic-related fatigue).</w:t>
      </w:r>
    </w:p>
    <w:p>
      <w:pPr>
        <w:pStyle w:val="FirstParagraph"/>
      </w:pPr>
      <w:r>
        <w:rPr>
          <w:iCs/>
          <w:i/>
        </w:rPr>
        <w:t xml:space="preserve">Ethical Considerations:</w:t>
      </w:r>
      <w:r>
        <w:t xml:space="preserve"> </w:t>
      </w:r>
      <w:r>
        <w:t xml:space="preserve">All data collection will adhere to YÖK’s Research Ethics Guidelines. Anonymity protocols will protect participants from institutional reprisal.</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4"/>
        </w:numPr>
        <w:pStyle w:val="Compact"/>
      </w:pPr>
      <w:r>
        <w:rPr>
          <w:bCs/>
          <w:b/>
        </w:rPr>
        <w:t xml:space="preserve">Policy Framework:</w:t>
      </w:r>
      <w:r>
        <w:t xml:space="preserve"> </w:t>
      </w:r>
      <w:r>
        <w:t xml:space="preserve">A regionally specific "Istanbul Academic Staff Development Model" proposing mandatory digital literacy modules tied to faculty promotion criteria, addressing the current 58% deficit in lecturer training (YÖK, 2023).</w:t>
      </w:r>
    </w:p>
    <w:p>
      <w:pPr>
        <w:numPr>
          <w:ilvl w:val="0"/>
          <w:numId w:val="1004"/>
        </w:numPr>
        <w:pStyle w:val="Compact"/>
      </w:pPr>
      <w:r>
        <w:rPr>
          <w:bCs/>
          <w:b/>
        </w:rPr>
        <w:t xml:space="preserve">Institutional Toolkit:</w:t>
      </w:r>
      <w:r>
        <w:t xml:space="preserve"> </w:t>
      </w:r>
      <w:r>
        <w:t xml:space="preserve">A benchmarking framework for Istanbul universities to assess role clarity through standardized metrics (e.g., time allocation between teaching/research/administration), directly responsive to YÖK’s 2025 Quality Assurance Goals.</w:t>
      </w:r>
    </w:p>
    <w:p>
      <w:pPr>
        <w:numPr>
          <w:ilvl w:val="0"/>
          <w:numId w:val="1004"/>
        </w:numPr>
        <w:pStyle w:val="Compact"/>
      </w:pPr>
      <w:r>
        <w:rPr>
          <w:bCs/>
          <w:b/>
        </w:rPr>
        <w:t xml:space="preserve">Societal Impact:</w:t>
      </w:r>
      <w:r>
        <w:t xml:space="preserve"> </w:t>
      </w:r>
      <w:r>
        <w:t xml:space="preserve">Evidence demonstrating how lecturer well-being correlates with student retention rates—critical for Istanbul, where 38% of students report switching universities due to "poor teaching quality" (Istanbul Student Survey, 2022).</w:t>
      </w:r>
    </w:p>
    <w:p>
      <w:pPr>
        <w:pStyle w:val="FirstParagraph"/>
      </w:pPr>
      <w:r>
        <w:t xml:space="preserve">The significance extends beyond academia: A streamlined lecturer role framework in Istanbul could serve as Turkey’s national template. With YÖK prioritizing "quality over quantity" in higher education, this study directly supports Turkey’s strategic goal to rank among top 10 global education systems by 2035 (Turkey Education Strategy, 2021).</w:t>
      </w:r>
    </w:p>
    <w:bookmarkEnd w:id="27"/>
    <w:bookmarkStart w:id="28"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rPr>
          <w:iCs/>
          <w:i/>
        </w:rPr>
        <w:t xml:space="preserve">Literature Review &amp; Instrument Design</w:t>
      </w:r>
    </w:p>
    <w:p>
      <w:pPr>
        <w:pStyle w:val="BodyText"/>
      </w:pPr>
      <w:r>
        <w:t xml:space="preserve">✓</w:t>
      </w:r>
    </w:p>
    <w:p>
      <w:pPr>
        <w:pStyle w:val="BodyText"/>
      </w:pPr>
      <w:r>
        <w:rPr>
          <w:iCs/>
          <w:i/>
        </w:rPr>
        <w:t xml:space="preserve">Quantitative Data Collection</w:t>
      </w:r>
    </w:p>
    <w:p>
      <w:pPr>
        <w:pStyle w:val="BodyText"/>
      </w:pPr>
      <w:r>
        <w:t xml:space="preserve">✓</w:t>
      </w:r>
    </w:p>
    <w:p>
      <w:pPr>
        <w:pStyle w:val="BodyText"/>
      </w:pPr>
      <w:r>
        <w:t xml:space="preserve">&gt;</w:t>
      </w:r>
    </w:p>
    <w:p>
      <w:pPr>
        <w:pStyle w:val="BodyText"/>
      </w:pPr>
      <w:r>
        <w:t xml:space="preserve">Data Analysis &amp; Drafting</w:t>
      </w:r>
    </w:p>
    <w:p>
      <w:pPr>
        <w:pStyle w:val="BodyText"/>
      </w:pPr>
      <w:r>
        <w:t xml:space="preserve">Quantitative Analysis</w:t>
      </w:r>
    </w:p>
    <w:p>
      <w:pPr>
        <w:pStyle w:val="BodyText"/>
      </w:pPr>
      <w:r>
        <w:t xml:space="preserve">✓ ✓</w:t>
      </w:r>
    </w:p>
    <w:p>
      <w:pPr>
        <w:pStyle w:val="BodyText"/>
      </w:pPr>
      <w:r>
        <w:t xml:space="preserve">Qualitative Coding &amp; Synthesis</w:t>
      </w:r>
    </w:p>
    <w:p>
      <w:pPr>
        <w:pStyle w:val="BodyText"/>
      </w:pPr>
      <w:r>
        <w:t xml:space="preserve">✓ ✓ (M7-8)</w:t>
      </w:r>
    </w:p>
    <w:p>
      <w:pPr>
        <w:pStyle w:val="BodyText"/>
      </w:pPr>
      <w:r>
        <w:t xml:space="preserve">✓ (M9)</w:t>
      </w:r>
    </w:p>
    <w:p>
      <w:pPr>
        <w:pStyle w:val="BodyText"/>
      </w:pPr>
      <w:r>
        <w:t xml:space="preserve">Final Thesis Completion</w:t>
      </w:r>
    </w:p>
    <w:p>
      <w:pPr>
        <w:pStyle w:val="BodyText"/>
      </w:pPr>
      <w:r>
        <w:t xml:space="preserve">Submission by Month 10</w:t>
      </w:r>
    </w:p>
    <w:bookmarkEnd w:id="28"/>
    <w:bookmarkStart w:id="29" w:name="conclusion"/>
    <w:p>
      <w:pPr>
        <w:pStyle w:val="Heading2"/>
      </w:pPr>
      <w:r>
        <w:t xml:space="preserve">8. Conclusion</w:t>
      </w:r>
    </w:p>
    <w:p>
      <w:pPr>
        <w:pStyle w:val="FirstParagraph"/>
      </w:pPr>
      <w:r>
        <w:t xml:space="preserve">As Turkey positions itself as a bridge between East and West, Istanbul’s University Lecturers stand at the frontline of this vision. This thesis proposal responds to an urgent need: transforming generic policy frameworks into actionable strategies for the city where 1 in 3 Turkish university students receives instruction. By centering Istanbul’s unique academic ecosystem—the convergence of Ottoman heritage, modern urban pressures, and global educational aspirations—this research will deliver not merely academic insights but a practical roadmap for empowering University Lecturers to drive Turkey’s higher education excellence. The outcomes promise to strengthen Istanbul’s standing as a world-class knowledge hub while providing a replicable model for universities across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Development of University Lecturers in Istanbul, Turkey</dc:title>
  <dc:creator/>
  <dc:language>en</dc:language>
  <cp:keywords/>
  <dcterms:created xsi:type="dcterms:W3CDTF">2026-07-21T02:45:06Z</dcterms:created>
  <dcterms:modified xsi:type="dcterms:W3CDTF">2026-07-21T02:45:06Z</dcterms:modified>
</cp:coreProperties>
</file>

<file path=docProps/custom.xml><?xml version="1.0" encoding="utf-8"?>
<Properties xmlns="http://schemas.openxmlformats.org/officeDocument/2006/custom-properties" xmlns:vt="http://schemas.openxmlformats.org/officeDocument/2006/docPropsVTypes"/>
</file>