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Ankara,</w:t>
      </w:r>
      <w:r>
        <w:t xml:space="preserve"> </w:t>
      </w:r>
      <w:r>
        <w:t xml:space="preserve">Turkey</w:t>
      </w:r>
    </w:p>
    <w:bookmarkStart w:id="28" w:name="X750274111189e8dcf19c23e9dd23794e93ac071"/>
    <w:p>
      <w:pPr>
        <w:pStyle w:val="Heading1"/>
      </w:pPr>
      <w:r>
        <w:t xml:space="preserve">Thesis Proposal: Optimizing User Experience and Interface Design Strategies for Localized Digital Solutions in Ankara, Turkey</w:t>
      </w:r>
    </w:p>
    <w:bookmarkStart w:id="20" w:name="X7d3939d1cb50b011ead4b259c6cfaeceee61e46"/>
    <w:p>
      <w:pPr>
        <w:pStyle w:val="Heading2"/>
      </w:pPr>
      <w:r>
        <w:t xml:space="preserve">I. Introduction and Contextual Background</w:t>
      </w:r>
    </w:p>
    <w:p>
      <w:pPr>
        <w:pStyle w:val="FirstParagraph"/>
      </w:pPr>
      <w:r>
        <w:t xml:space="preserve">The digital landscape of Turkey is undergoing rapid transformation, with Ankara emerging as a pivotal hub for technology, innovation, and government-driven digital initiatives. As the capital city housing key institutions like the Ministry of Transport and Infrastructure, numerous startups (e.g., in Kızılay and Çankaya), and leading universities such as Hacettepe University and TOBB ETU, Ankara represents a critical testing ground for user-centered design practices. However, despite Turkey's ambitious digital transformation goals under initiatives like "Digital Türkiye," the adoption of structured</w:t>
      </w:r>
      <w:r>
        <w:t xml:space="preserve"> </w:t>
      </w:r>
      <w:r>
        <w:rPr>
          <w:bCs/>
          <w:b/>
        </w:rPr>
        <w:t xml:space="preserve">UX UI Designer</w:t>
      </w:r>
      <w:r>
        <w:t xml:space="preserve"> </w:t>
      </w:r>
      <w:r>
        <w:t xml:space="preserve">methodologies remains inconsistent across local businesses and public services. This thesis addresses a pressing gap: the lack of context-specific UX/UI frameworks tailored to Ankara’s socio-cultural dynamics, language nuances (Turkish vs. English interfaces), and evolving user expectations within Turkey's unique market.</w:t>
      </w:r>
    </w:p>
    <w:bookmarkEnd w:id="20"/>
    <w:bookmarkStart w:id="21" w:name="ii.-problem-statement"/>
    <w:p>
      <w:pPr>
        <w:pStyle w:val="Heading2"/>
      </w:pPr>
      <w:r>
        <w:t xml:space="preserve">II. Problem Statement</w:t>
      </w:r>
    </w:p>
    <w:p>
      <w:pPr>
        <w:pStyle w:val="FirstParagraph"/>
      </w:pPr>
      <w:r>
        <w:t xml:space="preserve">Current digital products developed for Ankara-based audiences often suffer from usability gaps stemming from a superficial understanding of local user behaviors. For instance, government mobile apps (e.g., e-Government services) and e-commerce platforms frequently fail to account for multigenerational tech literacy—ranging from elderly users with minimal digital exposure to Gen-Z natives fluent in global design trends. Additionally, the absence of standardized</w:t>
      </w:r>
      <w:r>
        <w:t xml:space="preserve"> </w:t>
      </w:r>
      <w:r>
        <w:rPr>
          <w:bCs/>
          <w:b/>
        </w:rPr>
        <w:t xml:space="preserve">UX UI Designer</w:t>
      </w:r>
      <w:r>
        <w:t xml:space="preserve"> </w:t>
      </w:r>
      <w:r>
        <w:t xml:space="preserve">training programs in Ankara’s academic institutions results in a workforce that lacks deep cultural intelligence. This disconnect leads to low user retention, mistrusted services, and missed opportunities for businesses operating within Turkey. As a nation where digital penetration has surged to 80% (TurkStat, 2023), the need for localized UX/UI excellence in</w:t>
      </w:r>
      <w:r>
        <w:t xml:space="preserve"> </w:t>
      </w:r>
      <w:r>
        <w:rPr>
          <w:bCs/>
          <w:b/>
        </w:rPr>
        <w:t xml:space="preserve">Turkey Ankara</w:t>
      </w:r>
      <w:r>
        <w:t xml:space="preserve"> </w:t>
      </w:r>
      <w:r>
        <w:t xml:space="preserve">is not merely strategic—it is foundational to national digital inclusion.</w:t>
      </w:r>
    </w:p>
    <w:bookmarkEnd w:id="21"/>
    <w:bookmarkStart w:id="22" w:name="iii.-research-objectives"/>
    <w:p>
      <w:pPr>
        <w:pStyle w:val="Heading2"/>
      </w:pPr>
      <w:r>
        <w:t xml:space="preserve">III. Research Objectives</w:t>
      </w:r>
    </w:p>
    <w:p>
      <w:pPr>
        <w:pStyle w:val="FirstParagraph"/>
      </w:pPr>
      <w:r>
        <w:t xml:space="preserve">This Thesis Proposal aims to develop a culturally responsive UX/UI framework specifically for designers operating in Ankara, Turkey. The primary objectives are:</w:t>
      </w:r>
    </w:p>
    <w:p>
      <w:pPr>
        <w:numPr>
          <w:ilvl w:val="0"/>
          <w:numId w:val="1001"/>
        </w:numPr>
        <w:pStyle w:val="Compact"/>
      </w:pPr>
      <w:r>
        <w:t xml:space="preserve">To analyze the unique socio-cultural and linguistic challenges faced by users in Ankara when interacting with digital products.</w:t>
      </w:r>
    </w:p>
    <w:p>
      <w:pPr>
        <w:numPr>
          <w:ilvl w:val="0"/>
          <w:numId w:val="1001"/>
        </w:numPr>
        <w:pStyle w:val="Compact"/>
      </w:pPr>
      <w:r>
        <w:t xml:space="preserve">To evaluate the current competencies of local</w:t>
      </w:r>
      <w:r>
        <w:t xml:space="preserve"> </w:t>
      </w:r>
      <w:r>
        <w:rPr>
          <w:bCs/>
          <w:b/>
        </w:rPr>
        <w:t xml:space="preserve">UX UI Designer</w:t>
      </w:r>
      <w:r>
        <w:t xml:space="preserve"> </w:t>
      </w:r>
      <w:r>
        <w:t xml:space="preserve">professionals through surveys and interviews across Ankara’s tech ecosystem.</w:t>
      </w:r>
    </w:p>
    <w:p>
      <w:pPr>
        <w:numPr>
          <w:ilvl w:val="0"/>
          <w:numId w:val="1001"/>
        </w:numPr>
        <w:pStyle w:val="Compact"/>
      </w:pPr>
      <w:r>
        <w:t xml:space="preserve">To co-create a practical design toolkit integrating Turkish cultural values (e.g., family-centric decision-making, hierarchy in communication) into wireframing, prototyping, and user testing phases.</w:t>
      </w:r>
    </w:p>
    <w:p>
      <w:pPr>
        <w:numPr>
          <w:ilvl w:val="0"/>
          <w:numId w:val="1001"/>
        </w:numPr>
        <w:pStyle w:val="Compact"/>
      </w:pPr>
      <w:r>
        <w:t xml:space="preserve">To propose curriculum enhancements for Ankara-based design programs to bridge the gap between academic training and industry needs.</w:t>
      </w:r>
    </w:p>
    <w:bookmarkEnd w:id="22"/>
    <w:bookmarkStart w:id="23" w:name="iv.-research-methodology"/>
    <w:p>
      <w:pPr>
        <w:pStyle w:val="Heading2"/>
      </w:pPr>
      <w:r>
        <w:t xml:space="preserve">IV. Research Methodology</w:t>
      </w:r>
    </w:p>
    <w:p>
      <w:pPr>
        <w:pStyle w:val="FirstParagraph"/>
      </w:pPr>
      <w:r>
        <w:t xml:space="preserve">This study employs a mixed-methods approach grounded in Ankara’s context:</w:t>
      </w:r>
    </w:p>
    <w:p>
      <w:pPr>
        <w:numPr>
          <w:ilvl w:val="0"/>
          <w:numId w:val="1002"/>
        </w:numPr>
        <w:pStyle w:val="Compact"/>
      </w:pPr>
      <w:r>
        <w:rPr>
          <w:bCs/>
          <w:b/>
        </w:rPr>
        <w:t xml:space="preserve">Qualitative Phase (Ankara User Interviews):</w:t>
      </w:r>
      <w:r>
        <w:t xml:space="preserve"> </w:t>
      </w:r>
      <w:r>
        <w:t xml:space="preserve">40+ semi-structured interviews with diverse users across Ankara districts (e.g., Altındağ, Mamak), focusing on pain points with local apps. Participants will include non-digital natives, small business owners, and students.</w:t>
      </w:r>
    </w:p>
    <w:p>
      <w:pPr>
        <w:numPr>
          <w:ilvl w:val="0"/>
          <w:numId w:val="1002"/>
        </w:numPr>
        <w:pStyle w:val="Compact"/>
      </w:pPr>
      <w:r>
        <w:rPr>
          <w:bCs/>
          <w:b/>
        </w:rPr>
        <w:t xml:space="preserve">Professional Assessment:</w:t>
      </w:r>
      <w:r>
        <w:t xml:space="preserve"> </w:t>
      </w:r>
      <w:r>
        <w:t xml:space="preserve">Surveys and workshops with 25+</w:t>
      </w:r>
      <w:r>
        <w:t xml:space="preserve"> </w:t>
      </w:r>
      <w:r>
        <w:rPr>
          <w:bCs/>
          <w:b/>
        </w:rPr>
        <w:t xml:space="preserve">UX UI Designer</w:t>
      </w:r>
      <w:r>
        <w:t xml:space="preserve"> </w:t>
      </w:r>
      <w:r>
        <w:t xml:space="preserve">practitioners at Ankara-based firms (e.g., Togg, Arçelik digital teams) to map skill gaps against local market demands.</w:t>
      </w:r>
    </w:p>
    <w:p>
      <w:pPr>
        <w:numPr>
          <w:ilvl w:val="0"/>
          <w:numId w:val="1002"/>
        </w:numPr>
        <w:pStyle w:val="Compact"/>
      </w:pPr>
      <w:r>
        <w:rPr>
          <w:bCs/>
          <w:b/>
        </w:rPr>
        <w:t xml:space="preserve">Cultural Analysis:</w:t>
      </w:r>
      <w:r>
        <w:t xml:space="preserve"> </w:t>
      </w:r>
      <w:r>
        <w:t xml:space="preserve">Comparative study of successful global UX frameworks (e.g., Nielsen Norman Group) against Turkish cultural norms using the Hofstede Insights model, contextualized for Ankara’s urban demographic.</w:t>
      </w:r>
    </w:p>
    <w:p>
      <w:pPr>
        <w:numPr>
          <w:ilvl w:val="0"/>
          <w:numId w:val="1002"/>
        </w:numPr>
        <w:pStyle w:val="Compact"/>
      </w:pPr>
      <w:r>
        <w:rPr>
          <w:bCs/>
          <w:b/>
        </w:rPr>
        <w:t xml:space="preserve">Prototype Validation:</w:t>
      </w:r>
      <w:r>
        <w:t xml:space="preserve"> </w:t>
      </w:r>
      <w:r>
        <w:t xml:space="preserve">Co-design sessions with 15 Ankara users to test redesigned interface templates incorporating findings from phases one and two.</w:t>
      </w:r>
    </w:p>
    <w:p>
      <w:pPr>
        <w:pStyle w:val="FirstParagraph"/>
      </w:pPr>
      <w:r>
        <w:t xml:space="preserve">Data will be triangulated using NVivo for qualitative coding and SPSS for statistical analysis of survey responses, ensuring findings reflect Ankara’s specific realities rather than generic Turkish or Western benchmarks.</w:t>
      </w:r>
    </w:p>
    <w:bookmarkEnd w:id="23"/>
    <w:bookmarkStart w:id="24" w:name="v.-expected-contributions-to-the-field"/>
    <w:p>
      <w:pPr>
        <w:pStyle w:val="Heading2"/>
      </w:pPr>
      <w:r>
        <w:t xml:space="preserve">V. Expected Contributions to the Field</w:t>
      </w:r>
    </w:p>
    <w:p>
      <w:pPr>
        <w:pStyle w:val="FirstParagraph"/>
      </w:pPr>
      <w:r>
        <w:t xml:space="preserve">This research promises three key contributions:</w:t>
      </w:r>
    </w:p>
    <w:p>
      <w:pPr>
        <w:numPr>
          <w:ilvl w:val="0"/>
          <w:numId w:val="1003"/>
        </w:numPr>
        <w:pStyle w:val="Compact"/>
      </w:pPr>
      <w:r>
        <w:rPr>
          <w:bCs/>
          <w:b/>
        </w:rPr>
        <w:t xml:space="preserve">Localizable UX/UI Framework:</w:t>
      </w:r>
      <w:r>
        <w:t xml:space="preserve"> </w:t>
      </w:r>
      <w:r>
        <w:t xml:space="preserve">A publicly accessible toolkit for Ankara-based designers, including templates for Turkish-language microcopy, culturally resonant iconography (e.g., avoiding Western-centric symbols), and accessibility guidelines for Turkey’s multi-generational user base.</w:t>
      </w:r>
    </w:p>
    <w:p>
      <w:pPr>
        <w:numPr>
          <w:ilvl w:val="0"/>
          <w:numId w:val="1003"/>
        </w:numPr>
        <w:pStyle w:val="Compact"/>
      </w:pPr>
      <w:r>
        <w:rPr>
          <w:bCs/>
          <w:b/>
        </w:rPr>
        <w:t xml:space="preserve">Educational Impact:</w:t>
      </w:r>
      <w:r>
        <w:t xml:space="preserve"> </w:t>
      </w:r>
      <w:r>
        <w:t xml:space="preserve">Curriculum recommendations for universities in Ankara (e.g., Hacettepe Design Department) to integrate "Ankara-Context UX" modules, preparing graduates to serve the city’s booming tech sector.</w:t>
      </w:r>
    </w:p>
    <w:p>
      <w:pPr>
        <w:numPr>
          <w:ilvl w:val="0"/>
          <w:numId w:val="1003"/>
        </w:numPr>
        <w:pStyle w:val="Compact"/>
      </w:pPr>
      <w:r>
        <w:rPr>
          <w:bCs/>
          <w:b/>
        </w:rPr>
        <w:t xml:space="preserve">Policy Alignment:</w:t>
      </w:r>
      <w:r>
        <w:t xml:space="preserve"> </w:t>
      </w:r>
      <w:r>
        <w:t xml:space="preserve">Evidence-based insights for Turkey’s Ministry of Industry and Technology on how improved UX/UI standards can accelerate national digital initiatives like "e-Services 2030," directly linking to Ankara’s role as a government innovation pilot zone.</w:t>
      </w:r>
    </w:p>
    <w:bookmarkEnd w:id="24"/>
    <w:bookmarkStart w:id="25" w:name="vi.-significance-for-turkey-ankara"/>
    <w:p>
      <w:pPr>
        <w:pStyle w:val="Heading2"/>
      </w:pPr>
      <w:r>
        <w:t xml:space="preserve">VI. Significance for Turkey Ankara</w:t>
      </w:r>
    </w:p>
    <w:p>
      <w:pPr>
        <w:pStyle w:val="FirstParagraph"/>
      </w:pPr>
      <w:r>
        <w:t xml:space="preserve">By anchoring this thesis in</w:t>
      </w:r>
      <w:r>
        <w:t xml:space="preserve"> </w:t>
      </w:r>
      <w:r>
        <w:rPr>
          <w:bCs/>
          <w:b/>
        </w:rPr>
        <w:t xml:space="preserve">Turkey Ankara</w:t>
      </w:r>
      <w:r>
        <w:t xml:space="preserve">, the research transcends academic exercise to address real-world economic and social imperatives. With Ankara hosting 30% of Turkey’s tech startups (TSE, 2023) and a population of 5.8 million—where digital services impact daily life from healthcare (e.g., e-Health apps) to civic engagement—the quality of UX/UI design directly affects service equity and economic growth. For instance, a poorly designed tax-filing portal could deter small businesses in Ankara’s Kızılay district, stifling entrepreneurship. This thesis will empower</w:t>
      </w:r>
      <w:r>
        <w:t xml:space="preserve"> </w:t>
      </w:r>
      <w:r>
        <w:rPr>
          <w:bCs/>
          <w:b/>
        </w:rPr>
        <w:t xml:space="preserve">UX UI Designer</w:t>
      </w:r>
      <w:r>
        <w:t xml:space="preserve"> </w:t>
      </w:r>
      <w:r>
        <w:t xml:space="preserve">professionals to become catalysts for inclusive digital transformation within Ankara’s ecosystem, ensuring technology serves all citizens—not just tech-literate elites.</w:t>
      </w:r>
    </w:p>
    <w:bookmarkEnd w:id="25"/>
    <w:bookmarkStart w:id="26" w:name="vii.-timeline-and-feasibility"/>
    <w:p>
      <w:pPr>
        <w:pStyle w:val="Heading2"/>
      </w:pPr>
      <w:r>
        <w:t xml:space="preserve">VII. Timeline and Feasibility</w:t>
      </w:r>
    </w:p>
    <w:p>
      <w:pPr>
        <w:pStyle w:val="FirstParagraph"/>
      </w:pPr>
      <w:r>
        <w:t xml:space="preserve">The proposed 18-month timeline is feasible due to Ankara’s accessible research environment:</w:t>
      </w:r>
    </w:p>
    <w:p>
      <w:pPr>
        <w:numPr>
          <w:ilvl w:val="0"/>
          <w:numId w:val="1004"/>
        </w:numPr>
        <w:pStyle w:val="Compact"/>
      </w:pPr>
      <w:r>
        <w:rPr>
          <w:iCs/>
          <w:i/>
        </w:rPr>
        <w:t xml:space="preserve">Months 1-3:</w:t>
      </w:r>
      <w:r>
        <w:t xml:space="preserve"> </w:t>
      </w:r>
      <w:r>
        <w:t xml:space="preserve">Literature review and stakeholder mapping in Ankara (e.g., partnerships with IT Cluster Istanbul, but focused on Ankara entities).</w:t>
      </w:r>
    </w:p>
    <w:p>
      <w:pPr>
        <w:numPr>
          <w:ilvl w:val="0"/>
          <w:numId w:val="1004"/>
        </w:numPr>
        <w:pStyle w:val="Compact"/>
      </w:pPr>
      <w:r>
        <w:rPr>
          <w:iCs/>
          <w:i/>
        </w:rPr>
        <w:t xml:space="preserve">Months 4-9:</w:t>
      </w:r>
      <w:r>
        <w:t xml:space="preserve"> </w:t>
      </w:r>
      <w:r>
        <w:t xml:space="preserve">User interviews and professional surveys across Ankara neighborhoods.</w:t>
      </w:r>
    </w:p>
    <w:p>
      <w:pPr>
        <w:numPr>
          <w:ilvl w:val="0"/>
          <w:numId w:val="1004"/>
        </w:numPr>
        <w:pStyle w:val="Compact"/>
      </w:pPr>
      <w:r>
        <w:rPr>
          <w:iCs/>
          <w:i/>
        </w:rPr>
        <w:t xml:space="preserve">Months 10-15:</w:t>
      </w:r>
      <w:r>
        <w:t xml:space="preserve"> </w:t>
      </w:r>
      <w:r>
        <w:t xml:space="preserve">Toolkit development and co-design workshops in collaboration with Ankara’s design community.</w:t>
      </w:r>
    </w:p>
    <w:p>
      <w:pPr>
        <w:numPr>
          <w:ilvl w:val="0"/>
          <w:numId w:val="1004"/>
        </w:numPr>
        <w:pStyle w:val="Compact"/>
      </w:pPr>
      <w:r>
        <w:rPr>
          <w:iCs/>
          <w:i/>
        </w:rPr>
        <w:t xml:space="preserve">Months 16-18:</w:t>
      </w:r>
      <w:r>
        <w:t xml:space="preserve"> </w:t>
      </w:r>
      <w:r>
        <w:t xml:space="preserve">Validation, thesis writing, and dissemination to local universities/government bodies.</w:t>
      </w:r>
    </w:p>
    <w:bookmarkEnd w:id="26"/>
    <w:bookmarkStart w:id="27" w:name="viii.-conclusion"/>
    <w:p>
      <w:pPr>
        <w:pStyle w:val="Heading2"/>
      </w:pPr>
      <w:r>
        <w:t xml:space="preserve">VIII. Conclusion</w:t>
      </w:r>
    </w:p>
    <w:p>
      <w:pPr>
        <w:pStyle w:val="FirstParagraph"/>
      </w:pPr>
      <w:r>
        <w:t xml:space="preserve">This Thesis Proposal outlines a necessary step toward elevating the role of the</w:t>
      </w:r>
      <w:r>
        <w:t xml:space="preserve"> </w:t>
      </w:r>
      <w:r>
        <w:rPr>
          <w:bCs/>
          <w:b/>
        </w:rPr>
        <w:t xml:space="preserve">UX UI Designer</w:t>
      </w:r>
      <w:r>
        <w:t xml:space="preserve"> </w:t>
      </w:r>
      <w:r>
        <w:t xml:space="preserve">within Ankara’s digital economy. By centering research on Turkey’s capital city, it moves beyond theoretical frameworks to deliver actionable strategies that honor cultural context while driving innovation. As Ankara positions itself as a model for smart cities in Turkey and beyond, this work will provide the blueprint for designing technology that is not only functional but deeply human-centered—where every interaction respects the unique pulse of Ankara’s diverse communities. The success of this proposal will directly contribute to making</w:t>
      </w:r>
      <w:r>
        <w:t xml:space="preserve"> </w:t>
      </w:r>
      <w:r>
        <w:rPr>
          <w:bCs/>
          <w:b/>
        </w:rPr>
        <w:t xml:space="preserve">Turkey Ankara</w:t>
      </w:r>
      <w:r>
        <w:t xml:space="preserve"> </w:t>
      </w:r>
      <w:r>
        <w:t xml:space="preserve">synonymous with world-class, culturally intelligent digital experiences.</w:t>
      </w:r>
    </w:p>
    <w:p>
      <w:pPr>
        <w:pStyle w:val="BodyText"/>
      </w:pPr>
      <w:r>
        <w:rPr>
          <w:iCs/>
          <w:i/>
        </w:rPr>
        <w:t xml:space="preserve">This thesis aligns with Turkey’s national vision for a knowledge-based economy and addresses an urgent market need: the transformation of UX/UI from a secondary skill into a strategic asset in Ankara. The findings will be disseminated via local design conferences (e.g., Anadolu Design Week) and open-access academic channels to maximize community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Innovation in Ankara, Turkey</dc:title>
  <dc:creator/>
  <cp:keywords/>
  <dcterms:created xsi:type="dcterms:W3CDTF">2026-07-19T22:53:03Z</dcterms:created>
  <dcterms:modified xsi:type="dcterms:W3CDTF">2026-07-19T22:53:03Z</dcterms:modified>
</cp:coreProperties>
</file>

<file path=docProps/custom.xml><?xml version="1.0" encoding="utf-8"?>
<Properties xmlns="http://schemas.openxmlformats.org/officeDocument/2006/custom-properties" xmlns:vt="http://schemas.openxmlformats.org/officeDocument/2006/docPropsVTypes"/>
</file>