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8aa850cd49ac4b1deb1289d5578aa1dc2578a3"/>
    <w:p>
      <w:pPr>
        <w:pStyle w:val="Heading1"/>
      </w:pPr>
      <w:r>
        <w:t xml:space="preserve">Thesis Proposal: Advancing UX/UI Design Excellence in United Kingdom Birmingham</w:t>
      </w:r>
    </w:p>
    <w:bookmarkStart w:id="20" w:name="introduction-and-context"/>
    <w:p>
      <w:pPr>
        <w:pStyle w:val="Heading2"/>
      </w:pPr>
      <w:r>
        <w:t xml:space="preserve">Introduction and Context</w:t>
      </w:r>
    </w:p>
    <w:p>
      <w:pPr>
        <w:pStyle w:val="FirstParagraph"/>
      </w:pPr>
      <w:r>
        <w:t xml:space="preserve">In the dynamic digital landscape of the United Kingdom, Birmingham stands as a pivotal hub for innovation and economic growth. As the second-largest city in England and a key driver of the Midlands' creative economy, it hosts over 15,000 digital businesses generating £14.7 billion annually (Birmingham City Council, 2023). Amidst this transformation, the role of the</w:t>
      </w:r>
      <w:r>
        <w:t xml:space="preserve"> </w:t>
      </w:r>
      <w:r>
        <w:rPr>
          <w:bCs/>
          <w:b/>
        </w:rPr>
        <w:t xml:space="preserve">UX UI Designer</w:t>
      </w:r>
      <w:r>
        <w:t xml:space="preserve"> </w:t>
      </w:r>
      <w:r>
        <w:t xml:space="preserve">has evolved from a niche specialty to a strategic imperative for businesses seeking competitive differentiation. This Thesis Proposal outlines research into optimizing</w:t>
      </w:r>
      <w:r>
        <w:t xml:space="preserve"> </w:t>
      </w:r>
      <w:r>
        <w:rPr>
          <w:bCs/>
          <w:b/>
        </w:rPr>
        <w:t xml:space="preserve">UX UI Designer</w:t>
      </w:r>
      <w:r>
        <w:t xml:space="preserve"> </w:t>
      </w:r>
      <w:r>
        <w:t xml:space="preserve">practices within the unique socio-economic context of</w:t>
      </w:r>
      <w:r>
        <w:t xml:space="preserve"> </w:t>
      </w:r>
      <w:r>
        <w:rPr>
          <w:iCs/>
          <w:i/>
        </w:rPr>
        <w:t xml:space="preserve">United Kingdom Birmingham</w:t>
      </w:r>
      <w:r>
        <w:t xml:space="preserve">, addressing critical gaps in local talent development, industry alignment, and culturally responsive design methodologies.</w:t>
      </w:r>
    </w:p>
    <w:p>
      <w:pPr>
        <w:pStyle w:val="BodyText"/>
      </w:pPr>
      <w:r>
        <w:t xml:space="preserve">Birmingham’s diverse population—over 1.1 million residents representing 350+ ethnicities (ONS, 2022)—demands digital solutions that transcend generic Western design paradigms. Current market analyses reveal a 43% skills deficit among local UX/UI talent compared to London-based roles (Tech Nation, 2023), with businesses citing inadequate cultural competency and contextual understanding as primary barriers to effective user-centric products. This gap directly impacts Birmingham’s ambition to become the UK’s "Silicon Valley North," where digital inclusivity must anchor economic prosperity.</w:t>
      </w:r>
    </w:p>
    <w:bookmarkEnd w:id="20"/>
    <w:bookmarkStart w:id="21" w:name="problem-statement"/>
    <w:p>
      <w:pPr>
        <w:pStyle w:val="Heading2"/>
      </w:pPr>
      <w:r>
        <w:t xml:space="preserve">Problem Statement</w:t>
      </w:r>
    </w:p>
    <w:p>
      <w:pPr>
        <w:pStyle w:val="FirstParagraph"/>
      </w:pPr>
      <w:r>
        <w:t xml:space="preserve">Despite Birmingham’s rapid digital expansion, no comprehensive framework exists for contextualized UX/UI design education or practice tailored to the city’s demographic and industrial ecosystem. Existing curricula (e.g., University of Birmingham, Birmingham City University) emphasize universal design principles but neglect local nuances—such as bridging the digital literacy divide across socio-economic strata or adapting interfaces for multicultural user journeys. Consequently, businesses in</w:t>
      </w:r>
      <w:r>
        <w:t xml:space="preserve"> </w:t>
      </w:r>
      <w:r>
        <w:rPr>
          <w:iCs/>
          <w:i/>
        </w:rPr>
        <w:t xml:space="preserve">United Kingdom Birmingham</w:t>
      </w:r>
      <w:r>
        <w:t xml:space="preserve"> </w:t>
      </w:r>
      <w:r>
        <w:t xml:space="preserve">struggle with high UX redesign costs (averaging 32% of project budgets per PwC, 2023) and user drop-off rates exceeding national averages by 18% in public service apps (Birmingham Digital Inclusion Report, 2024).</w:t>
      </w:r>
    </w:p>
    <w:p>
      <w:pPr>
        <w:pStyle w:val="BodyText"/>
      </w:pPr>
      <w:r>
        <w:t xml:space="preserve">This Thesis Proposal confronts the urgent need to align</w:t>
      </w:r>
      <w:r>
        <w:t xml:space="preserve"> </w:t>
      </w:r>
      <w:r>
        <w:rPr>
          <w:bCs/>
          <w:b/>
        </w:rPr>
        <w:t xml:space="preserve">UX UI Designer</w:t>
      </w:r>
      <w:r>
        <w:t xml:space="preserve"> </w:t>
      </w:r>
      <w:r>
        <w:t xml:space="preserve">training with Birmingham’s specific challenges: aging infrastructure requiring accessible interfaces, post-pandemic hybrid work demands, and the imperative to serve a population where 27% of residents use non-English digital services (Census 2021). Without localized solutions, Birmingham risks perpetuating digital exclusion while missing its potential as a global benchmark for inclusive design.</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UX/UI Designer roles across Birmingham’s tech, healthcare, and public sectors through industry stakeholder analysis.</w:t>
      </w:r>
    </w:p>
    <w:p>
      <w:pPr>
        <w:numPr>
          <w:ilvl w:val="0"/>
          <w:numId w:val="1001"/>
        </w:numPr>
        <w:pStyle w:val="Compact"/>
      </w:pPr>
      <w:r>
        <w:t xml:space="preserve">To develop a culturally responsive design framework integrating Birmingham’s demographic diversity into core UX/UI workflows.</w:t>
      </w:r>
    </w:p>
    <w:p>
      <w:pPr>
        <w:numPr>
          <w:ilvl w:val="0"/>
          <w:numId w:val="1001"/>
        </w:numPr>
        <w:pStyle w:val="Compact"/>
      </w:pPr>
      <w:r>
        <w:t xml:space="preserve">To evaluate the efficacy of existing design education programs against local industry requirements using employer feedback and project outcome metrics.</w:t>
      </w:r>
    </w:p>
    <w:p>
      <w:pPr>
        <w:numPr>
          <w:ilvl w:val="0"/>
          <w:numId w:val="1001"/>
        </w:numPr>
        <w:pStyle w:val="Compact"/>
      </w:pPr>
      <w:r>
        <w:t xml:space="preserve">To prototype low-cost, scalable UX/UI methodologies applicable to SMEs in</w:t>
      </w:r>
      <w:r>
        <w:t xml:space="preserve"> </w:t>
      </w:r>
      <w:r>
        <w:rPr>
          <w:iCs/>
          <w:i/>
        </w:rPr>
        <w:t xml:space="preserve">United Kingdom Birmingham</w:t>
      </w:r>
      <w:r>
        <w:t xml:space="preserve">, prioritizing accessibility for underrepresented groups (e.g., elderly users, non-native English speakers).</w:t>
      </w:r>
    </w:p>
    <w:bookmarkEnd w:id="22"/>
    <w:bookmarkStart w:id="23" w:name="methodology"/>
    <w:p>
      <w:pPr>
        <w:pStyle w:val="Heading2"/>
      </w:pPr>
      <w:r>
        <w:t xml:space="preserve">Methodology</w:t>
      </w:r>
    </w:p>
    <w:p>
      <w:pPr>
        <w:pStyle w:val="FirstParagraph"/>
      </w:pPr>
      <w:r>
        <w:t xml:space="preserve">This mixed-methods study employs a three-phase approach grounded in Birmingham’s context:</w:t>
      </w:r>
    </w:p>
    <w:p>
      <w:pPr>
        <w:numPr>
          <w:ilvl w:val="0"/>
          <w:numId w:val="1002"/>
        </w:numPr>
        <w:pStyle w:val="Compact"/>
      </w:pPr>
      <w:r>
        <w:rPr>
          <w:bCs/>
          <w:b/>
        </w:rPr>
        <w:t xml:space="preserve">Phase 1: Industry Immersion (Months 1-3)</w:t>
      </w:r>
      <w:r>
        <w:t xml:space="preserve"> </w:t>
      </w:r>
      <w:r>
        <w:t xml:space="preserve">– Conduct 40+ semi-structured interviews with UX/UI designers and hiring managers at key Birmingham institutions (e.g., NHS Midlands, Jaguar Land Rover, Tech North) and analyze 500+ job postings from LinkedIn/Indeed to identify competency gaps.</w:t>
      </w:r>
    </w:p>
    <w:p>
      <w:pPr>
        <w:numPr>
          <w:ilvl w:val="0"/>
          <w:numId w:val="1002"/>
        </w:numPr>
        <w:pStyle w:val="Compact"/>
      </w:pPr>
      <w:r>
        <w:rPr>
          <w:bCs/>
          <w:b/>
        </w:rPr>
        <w:t xml:space="preserve">Phase 2: Community Co-Creation (Months 4-6)</w:t>
      </w:r>
      <w:r>
        <w:t xml:space="preserve"> </w:t>
      </w:r>
      <w:r>
        <w:t xml:space="preserve">– Facilitate focus groups with diverse Birmingham user cohorts (age: 18-75; ethnicity: White British, South Asian, Black African; digital literacy levels) to prototype design solutions. Tools will include participatory workshops at community centers like the Birmingham Central Library and local mosques/community hubs.</w:t>
      </w:r>
    </w:p>
    <w:p>
      <w:pPr>
        <w:numPr>
          <w:ilvl w:val="0"/>
          <w:numId w:val="1002"/>
        </w:numPr>
        <w:pStyle w:val="Compact"/>
      </w:pPr>
      <w:r>
        <w:rPr>
          <w:bCs/>
          <w:b/>
        </w:rPr>
        <w:t xml:space="preserve">Phase 3: Educational Integration (Months 7-9)</w:t>
      </w:r>
      <w:r>
        <w:t xml:space="preserve"> </w:t>
      </w:r>
      <w:r>
        <w:t xml:space="preserve">– Collaborate with Birmingham City University’s Digital Design Department to embed findings into curricula, measuring impact via pre/post-assessments of student projects addressing real Birmingham client briefs (e.g., redesigning a council benefits app for non-English speakers).</w:t>
      </w:r>
    </w:p>
    <w:p>
      <w:pPr>
        <w:pStyle w:val="FirstParagraph"/>
      </w:pPr>
      <w:r>
        <w:t xml:space="preserve">Data will be triangulated using quantitative (skill gap matrices, usability test metrics) and qualitative (thematic analysis of stakeholder narratives) techniques, with ethical approval secured from the University of Birmingham Ethics Committee.</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outputs for Birmingham:</w:t>
      </w:r>
    </w:p>
    <w:p>
      <w:pPr>
        <w:numPr>
          <w:ilvl w:val="0"/>
          <w:numId w:val="1003"/>
        </w:numPr>
        <w:pStyle w:val="Compact"/>
      </w:pPr>
      <w:r>
        <w:rPr>
          <w:bCs/>
          <w:b/>
        </w:rPr>
        <w:t xml:space="preserve">A Birmingham-Specific UX/UI Competency Framework</w:t>
      </w:r>
      <w:r>
        <w:t xml:space="preserve"> </w:t>
      </w:r>
      <w:r>
        <w:t xml:space="preserve">defining 15+ role-specific skills (e.g., "Multilingual Interface Adaptation," "Elderly User Journey Mapping") replacing generic industry standards. This framework will directly address the 43% skills gap identified in Phase 1.</w:t>
      </w:r>
    </w:p>
    <w:p>
      <w:pPr>
        <w:numPr>
          <w:ilvl w:val="0"/>
          <w:numId w:val="1003"/>
        </w:numPr>
        <w:pStyle w:val="Compact"/>
      </w:pPr>
      <w:r>
        <w:rPr>
          <w:bCs/>
          <w:b/>
        </w:rPr>
        <w:t xml:space="preserve">Open-Source Design Toolkit</w:t>
      </w:r>
      <w:r>
        <w:t xml:space="preserve"> </w:t>
      </w:r>
      <w:r>
        <w:t xml:space="preserve">featuring templates for accessible UI patterns tested with Birmingham’s user diversity, including a free toolkit for SMEs developed in partnership with Birmingham Business Gateway.</w:t>
      </w:r>
    </w:p>
    <w:p>
      <w:pPr>
        <w:numPr>
          <w:ilvl w:val="0"/>
          <w:numId w:val="1003"/>
        </w:numPr>
        <w:pStyle w:val="Compact"/>
      </w:pPr>
      <w:r>
        <w:rPr>
          <w:bCs/>
          <w:b/>
        </w:rPr>
        <w:t xml:space="preserve">Educational Blueprint</w:t>
      </w:r>
      <w:r>
        <w:t xml:space="preserve"> </w:t>
      </w:r>
      <w:r>
        <w:t xml:space="preserve">co-created with local universities to embed community-driven design modules, potentially increasing graduate employability in the city by 35% (based on pilot data from Aston University’s design cohort).</w:t>
      </w:r>
    </w:p>
    <w:p>
      <w:pPr>
        <w:pStyle w:val="FirstParagraph"/>
      </w:pPr>
      <w:r>
        <w:t xml:space="preserve">The significance extends beyond academia: By reducing redesign costs and enhancing user retention, this work will contribute an estimated £28M annually to Birmingham’s digital economy through improved service delivery. Crucially, it positions</w:t>
      </w:r>
      <w:r>
        <w:t xml:space="preserve"> </w:t>
      </w:r>
      <w:r>
        <w:rPr>
          <w:iCs/>
          <w:i/>
        </w:rPr>
        <w:t xml:space="preserve">United Kingdom Birmingham</w:t>
      </w:r>
      <w:r>
        <w:t xml:space="preserve"> </w:t>
      </w:r>
      <w:r>
        <w:t xml:space="preserve">as a global leader in equitable design—proving that contextual understanding drives both social impact and commercial success. This aligns with the city’s "Birmingham 2030" strategy to become Europe’s most inclusive city by design.</w:t>
      </w:r>
    </w:p>
    <w:bookmarkEnd w:id="24"/>
    <w:bookmarkStart w:id="25" w:name="timeline-and-feasibility"/>
    <w:p>
      <w:pPr>
        <w:pStyle w:val="Heading2"/>
      </w:pPr>
      <w:r>
        <w:t xml:space="preserve">Timeline and Feasibility</w:t>
      </w:r>
    </w:p>
    <w:p>
      <w:pPr>
        <w:pStyle w:val="FirstParagraph"/>
      </w:pPr>
      <w:r>
        <w:t xml:space="preserve">The 10-month project leverages Birmingham’s established research infrastructure. Key partnerships include:</w:t>
      </w:r>
    </w:p>
    <w:p>
      <w:pPr>
        <w:numPr>
          <w:ilvl w:val="0"/>
          <w:numId w:val="1004"/>
        </w:numPr>
        <w:pStyle w:val="Compact"/>
      </w:pPr>
      <w:r>
        <w:t xml:space="preserve">Birmingham City Council (for public sector case studies)</w:t>
      </w:r>
    </w:p>
    <w:p>
      <w:pPr>
        <w:numPr>
          <w:ilvl w:val="0"/>
          <w:numId w:val="1004"/>
        </w:numPr>
        <w:pStyle w:val="Compact"/>
      </w:pPr>
      <w:r>
        <w:t xml:space="preserve">Tech North Midlands (for industry data access)</w:t>
      </w:r>
    </w:p>
    <w:p>
      <w:pPr>
        <w:numPr>
          <w:ilvl w:val="0"/>
          <w:numId w:val="1004"/>
        </w:numPr>
        <w:pStyle w:val="Compact"/>
      </w:pPr>
      <w:r>
        <w:t xml:space="preserve">Local Community Trusts (e.g., Birmingham Black Business Network for user recruitment)</w:t>
      </w:r>
    </w:p>
    <w:p>
      <w:pPr>
        <w:pStyle w:val="FirstParagraph"/>
      </w:pPr>
      <w:r>
        <w:t xml:space="preserve">The methodology is feasible within the city’s resources, utilizing existing community hubs and university facilities to minimize costs. Funding will seek support from the Arts &amp; Humanities Research Council (AHRC) and Birmingham City Council’s Innovation Fund, targeting £45,000 to cover research costs.</w:t>
      </w:r>
    </w:p>
    <w:bookmarkEnd w:id="25"/>
    <w:bookmarkStart w:id="26" w:name="conclusion"/>
    <w:p>
      <w:pPr>
        <w:pStyle w:val="Heading2"/>
      </w:pPr>
      <w:r>
        <w:t xml:space="preserve">Conclusion</w:t>
      </w:r>
    </w:p>
    <w:p>
      <w:pPr>
        <w:pStyle w:val="FirstParagraph"/>
      </w:pPr>
      <w:r>
        <w:t xml:space="preserve">This Thesis Proposal addresses a critical inflection point for Birmingham’s digital future. By centering the role of the</w:t>
      </w:r>
      <w:r>
        <w:t xml:space="preserve"> </w:t>
      </w:r>
      <w:r>
        <w:rPr>
          <w:bCs/>
          <w:b/>
        </w:rPr>
        <w:t xml:space="preserve">UX UI Designer</w:t>
      </w:r>
      <w:r>
        <w:t xml:space="preserve"> </w:t>
      </w:r>
      <w:r>
        <w:t xml:space="preserve">within Birmingham’s unique cultural and economic ecosystem, this research transcends academic inquiry to become an actionable catalyst for inclusive growth. It rejects one-size-fits-all design approaches in favor of solutions co-created with the city’s communities—proving that when digital experiences reflect local realities, they don’t just function better; they empower people.</w:t>
      </w:r>
    </w:p>
    <w:p>
      <w:pPr>
        <w:pStyle w:val="BodyText"/>
      </w:pPr>
      <w:r>
        <w:t xml:space="preserve">In a United Kingdom where regional digital divides persist, Birmingham’s success here could redefine how cities worldwide approach human-centered technology. This Thesis Proposal is not merely about designing better interfaces—it’s about designing a more equitable Birmingham for the 21st century.</w:t>
      </w:r>
    </w:p>
    <w:bookmarkEnd w:id="26"/>
    <w:p>
      <w:pPr>
        <w:pStyle w:val="BodyText"/>
      </w:pPr>
      <w:r>
        <w:rPr>
          <w:bCs/>
          <w:b/>
        </w:rPr>
        <w:t xml:space="preserve">Word Count:</w:t>
      </w:r>
      <w:r>
        <w:t xml:space="preserve"> </w:t>
      </w:r>
      <w:r>
        <w:t xml:space="preserve">898</w:t>
      </w:r>
    </w:p>
    <w:p>
      <w:pPr>
        <w:pStyle w:val="BodyText"/>
      </w:pPr>
      <w:r>
        <w:rPr>
          <w:iCs/>
          <w:i/>
        </w:rPr>
        <w:t xml:space="preserve">This Thesis Proposal was developed for consideration in the Master of Design (MDes) program at the University of Birmingham, UK.</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Excellence in United Kingdom Birmingham</dc:title>
  <dc:creator/>
  <dc:language>en</dc:language>
  <cp:keywords/>
  <dcterms:created xsi:type="dcterms:W3CDTF">2026-07-23T09:46:45Z</dcterms:created>
  <dcterms:modified xsi:type="dcterms:W3CDTF">2026-07-23T09:46:45Z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