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Tehran,</w:t>
      </w:r>
      <w:r>
        <w:t xml:space="preserve"> </w:t>
      </w:r>
      <w:r>
        <w:t xml:space="preserve">Iran</w:t>
      </w:r>
    </w:p>
    <w:bookmarkStart w:id="29" w:name="X39f8f97b44a27e01cae326564a7dc20d121b1a2"/>
    <w:p>
      <w:pPr>
        <w:pStyle w:val="Heading1"/>
      </w:pPr>
      <w:r>
        <w:t xml:space="preserve">Thesis Proposal: Enhancing Veterinary Healthcare Infrastructure and Community Engagement in Tehran, Iran</w:t>
      </w:r>
    </w:p>
    <w:bookmarkStart w:id="20" w:name="introduction"/>
    <w:p>
      <w:pPr>
        <w:pStyle w:val="Heading2"/>
      </w:pPr>
      <w:r>
        <w:t xml:space="preserve">1. Introduction</w:t>
      </w:r>
    </w:p>
    <w:p>
      <w:pPr>
        <w:pStyle w:val="FirstParagraph"/>
      </w:pPr>
      <w:r>
        <w:t xml:space="preserve">The rapid urbanization of Tehran, the capital city of Iran with over 9 million residents and an expanding animal population, has created critical gaps in veterinary healthcare services. As a major hub for livestock production, companion animals, and wildlife conservation in Iran, Tehran faces mounting challenges including zoonotic disease outbreaks (such as rabies and leptospirosis), inadequate vaccination coverage, and limited access to specialized veterinary care. This Thesis Proposal addresses the urgent need to develop a sustainable framework for modernizing veterinary services within Tehran's unique socio-ecological context. The research will specifically investigate how integrated veterinary public health strategies can mitigate disease transmission risks while promoting animal welfare standards in a densely populated metropolis where human-animal interactions are increasingly complex.</w:t>
      </w:r>
    </w:p>
    <w:bookmarkEnd w:id="20"/>
    <w:bookmarkStart w:id="21" w:name="problem-statement"/>
    <w:p>
      <w:pPr>
        <w:pStyle w:val="Heading2"/>
      </w:pPr>
      <w:r>
        <w:t xml:space="preserve">2. Problem Statement</w:t>
      </w:r>
    </w:p>
    <w:p>
      <w:pPr>
        <w:pStyle w:val="FirstParagraph"/>
      </w:pPr>
      <w:r>
        <w:t xml:space="preserve">Current veterinary infrastructure in Iran Tehran remains fragmented, with 65% of animal hospitals concentrated in central districts and severe shortages in peripheral neighborhoods (Ministry of Agriculture, 2023). This inequity exacerbates public health risks: Tehran recorded a 40% increase in rabies cases among stray dogs between 2019-2023, while only 38% of domestic animals receive routine vaccinations. Compounding these issues are cultural factors—such as traditional livestock practices and low awareness of zoonotic transmission—and systemic constraints including outdated legislation (the Veterinary Law No. 57/1968) and insufficient funding for mobile veterinary units. Without immediate intervention, these challenges threaten Iran's National One Health Strategy goals by undermining food security, economic stability, and human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Tehran’s 22 districts using GIS mapping and household surveys (n=1,500) to identify underserved communities.</w:t>
      </w:r>
    </w:p>
    <w:p>
      <w:pPr>
        <w:numPr>
          <w:ilvl w:val="0"/>
          <w:numId w:val="1001"/>
        </w:numPr>
        <w:pStyle w:val="Compact"/>
      </w:pPr>
      <w:r>
        <w:t xml:space="preserve">To evaluate the effectiveness of existing zoonotic disease control programs in Tehran through analysis of Ministry of Health data and field observations at 30 animal clinics.</w:t>
      </w:r>
    </w:p>
    <w:p>
      <w:pPr>
        <w:numPr>
          <w:ilvl w:val="0"/>
          <w:numId w:val="1001"/>
        </w:numPr>
        <w:pStyle w:val="Compact"/>
      </w:pPr>
      <w:r>
        <w:t xml:space="preserve">To develop a culturally adapted veterinary public health model integrating mobile clinics, community education, and digital record-keeping tailored to Tehran’s urban landscape.</w:t>
      </w:r>
    </w:p>
    <w:p>
      <w:pPr>
        <w:numPr>
          <w:ilvl w:val="0"/>
          <w:numId w:val="1001"/>
        </w:numPr>
        <w:pStyle w:val="Compact"/>
      </w:pPr>
      <w:r>
        <w:t xml:space="preserve">To propose policy recommendations for updating Iran's Veterinary Law with emphasis on One Health integration (human-animal-environmental nexus) for Tehran’s municipal governance.</w:t>
      </w:r>
    </w:p>
    <w:bookmarkEnd w:id="22"/>
    <w:bookmarkStart w:id="23" w:name="literature-review"/>
    <w:p>
      <w:pPr>
        <w:pStyle w:val="Heading2"/>
      </w:pPr>
      <w:r>
        <w:t xml:space="preserve">4. Literature Review</w:t>
      </w:r>
    </w:p>
    <w:p>
      <w:pPr>
        <w:pStyle w:val="FirstParagraph"/>
      </w:pPr>
      <w:r>
        <w:t xml:space="preserve">While global studies highlight veterinary services' role in disease prevention (e.g., WHO, 2021), context-specific research in Middle Eastern urban settings remains scarce. A seminal study by Rahmati et al. (2020) documented Tehran’s rabies control gaps but lacked actionable solutions for resource-constrained environments. Conversely, successful models from Istanbul and Cairo demonstrate that mobile veterinary units increased vaccination rates by 53% through community trust-building—lessons directly applicable to Tehran’s informal settlements. However, no study has examined Iran-specific cultural barriers (e.g., religious perspectives on animal treatment) or leveraged Tehran’s existing municipal health infrastructure. This research bridges that gap by combining global best practices with Iran's socio-legal framework.</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(Months 1-6):</w:t>
      </w:r>
      <w:r>
        <w:t xml:space="preserve"> </w:t>
      </w:r>
      <w:r>
        <w:t xml:space="preserve">Quantitative analysis of Tehran municipality animal health records (2018-2023) and geospatial mapping of clinic distribution against population density.</w:t>
      </w:r>
    </w:p>
    <w:p>
      <w:pPr>
        <w:numPr>
          <w:ilvl w:val="0"/>
          <w:numId w:val="1002"/>
        </w:numPr>
        <w:pStyle w:val="Compact"/>
      </w:pPr>
      <w:r>
        <w:rPr>
          <w:bCs/>
          <w:b/>
        </w:rPr>
        <w:t xml:space="preserve">Phase 2 (Months 7-14):</w:t>
      </w:r>
      <w:r>
        <w:t xml:space="preserve"> </w:t>
      </w:r>
      <w:r>
        <w:t xml:space="preserve">Qualitative fieldwork including semi-structured interviews with 45 veterinarians, municipal officials, and community leaders across Tehran’s districts; focus groups with pet owners and livestock farmers in high-risk zones (e.g., Shahr-e-Rey, Evin).</w:t>
      </w:r>
    </w:p>
    <w:p>
      <w:pPr>
        <w:numPr>
          <w:ilvl w:val="0"/>
          <w:numId w:val="1002"/>
        </w:numPr>
        <w:pStyle w:val="Compact"/>
      </w:pPr>
      <w:r>
        <w:rPr>
          <w:bCs/>
          <w:b/>
        </w:rPr>
        <w:t xml:space="preserve">Phase 3 (Months 15-20):</w:t>
      </w:r>
      <w:r>
        <w:t xml:space="preserve"> </w:t>
      </w:r>
      <w:r>
        <w:t xml:space="preserve">Pilot implementation of a scaled veterinary model in two representative neighborhoods, measuring changes in vaccination coverage and disease reporting rates.</w:t>
      </w:r>
    </w:p>
    <w:p>
      <w:pPr>
        <w:numPr>
          <w:ilvl w:val="0"/>
          <w:numId w:val="1002"/>
        </w:numPr>
        <w:pStyle w:val="Compact"/>
      </w:pPr>
      <w:r>
        <w:rPr>
          <w:bCs/>
          <w:b/>
        </w:rPr>
        <w:t xml:space="preserve">Phase 4 (Months 21-24):</w:t>
      </w:r>
      <w:r>
        <w:t xml:space="preserve"> </w:t>
      </w:r>
      <w:r>
        <w:t xml:space="preserve">Policy analysis using the WHO One Health Policy Assessment Tool to draft amendments for Iran’s Veterinary Law.</w:t>
      </w:r>
    </w:p>
    <w:p>
      <w:pPr>
        <w:pStyle w:val="FirstParagraph"/>
      </w:pPr>
      <w:r>
        <w:t xml:space="preserve">Data will be analyzed via NVivo (qualitative) and SPSS (quantitative), with ethical approval secured from Tehran University of Medical Sciences.</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a replicable veterinary service blueprint for Tehran that reduces zoonotic disease incidence by 35% within 5 years through targeted interventions. Key contributions include:</w:t>
      </w:r>
    </w:p>
    <w:p>
      <w:pPr>
        <w:numPr>
          <w:ilvl w:val="0"/>
          <w:numId w:val="1003"/>
        </w:numPr>
        <w:pStyle w:val="Compact"/>
      </w:pPr>
      <w:r>
        <w:t xml:space="preserve">A district-specific Veterinary Service Index (VSI) to guide municipal resource allocation.</w:t>
      </w:r>
    </w:p>
    <w:p>
      <w:pPr>
        <w:numPr>
          <w:ilvl w:val="0"/>
          <w:numId w:val="1003"/>
        </w:numPr>
        <w:pStyle w:val="Compact"/>
      </w:pPr>
      <w:r>
        <w:t xml:space="preserve">Culturally validated educational materials addressing religious and linguistic nuances in Tehran’s diverse communities.</w:t>
      </w:r>
    </w:p>
    <w:p>
      <w:pPr>
        <w:numPr>
          <w:ilvl w:val="0"/>
          <w:numId w:val="1003"/>
        </w:numPr>
        <w:pStyle w:val="Compact"/>
      </w:pPr>
      <w:r>
        <w:t xml:space="preserve">Policy briefs advocating for Iran to adopt the WHO’s 2023 One Health Guidelines, positioning Tehran as a regional model for urban veterinary governance.</w:t>
      </w:r>
    </w:p>
    <w:p>
      <w:pPr>
        <w:pStyle w:val="FirstParagraph"/>
      </w:pPr>
      <w:r>
        <w:t xml:space="preserve">For Iran, this Thesis Proposal directly supports the national "Health 4.0" initiative and aligns with UN Sustainable Development Goals (SDG 3: Good Health, SDG 15: Life on Land). By transforming Tehran into a proof-of-concept city, it offers a pathway for Iran to meet its international obligations under the Global Health Security Agenda while strengthening rural-urban veterinary linkages critical for food safety in the Persian Gulf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instruments; Ethical approval documentation</w:t>
            </w:r>
          </w:p>
        </w:tc>
      </w:tr>
      <w:tr>
        <w:tc>
          <w:tcPr/>
          <w:p>
            <w:pPr>
              <w:pStyle w:val="Compact"/>
              <w:jc w:val="left"/>
            </w:pPr>
            <w:r>
              <w:t xml:space="preserve">Data Collection (Quantitative)</w:t>
            </w:r>
          </w:p>
        </w:tc>
        <w:tc>
          <w:tcPr/>
          <w:p>
            <w:pPr>
              <w:pStyle w:val="Compact"/>
              <w:jc w:val="left"/>
            </w:pPr>
            <w:r>
              <w:t xml:space="preserve">4-8</w:t>
            </w:r>
          </w:p>
        </w:tc>
        <w:tc>
          <w:tcPr/>
          <w:p>
            <w:pPr>
              <w:pStyle w:val="Compact"/>
              <w:jc w:val="left"/>
            </w:pPr>
            <w:r>
              <w:t xml:space="preserve">GIS service maps; Statistical analysis report</w:t>
            </w:r>
          </w:p>
        </w:tc>
      </w:tr>
      <w:tr>
        <w:tc>
          <w:tcPr/>
          <w:p>
            <w:pPr>
              <w:pStyle w:val="Compact"/>
              <w:jc w:val="left"/>
            </w:pPr>
            <w:r>
              <w:t xml:space="preserve">Data Collection (Qualitative)</w:t>
            </w:r>
          </w:p>
        </w:tc>
        <w:tc>
          <w:tcPr/>
          <w:p>
            <w:pPr>
              <w:pStyle w:val="Compact"/>
              <w:jc w:val="left"/>
            </w:pPr>
            <w:r>
              <w:t xml:space="preserve">9-14</w:t>
            </w:r>
          </w:p>
        </w:tc>
        <w:tc>
          <w:tcPr/>
          <w:p>
            <w:pPr>
              <w:pStyle w:val="Compact"/>
              <w:jc w:val="left"/>
            </w:pPr>
            <w:r>
              <w:t xml:space="preserve">Semi-structured interview transcripts; Focus group reports</w:t>
            </w:r>
          </w:p>
        </w:tc>
      </w:tr>
      <w:tr>
        <w:tc>
          <w:tcPr/>
          <w:p>
            <w:pPr>
              <w:pStyle w:val="Compact"/>
              <w:jc w:val="left"/>
            </w:pPr>
            <w:r>
              <w:t xml:space="preserve">Pilot Implementation &amp; Evaluation</w:t>
            </w:r>
          </w:p>
        </w:tc>
        <w:tc>
          <w:tcPr/>
          <w:p>
            <w:pPr>
              <w:pStyle w:val="Compact"/>
              <w:jc w:val="left"/>
            </w:pPr>
            <w:r>
              <w:t xml:space="preserve">15-20</w:t>
            </w:r>
          </w:p>
        </w:tc>
        <w:tc>
          <w:tcPr/>
          <w:p>
            <w:pPr>
              <w:pStyle w:val="Compact"/>
              <w:jc w:val="left"/>
            </w:pPr>
            <w:r>
              <w:t xml:space="preserve">Pilot impact assessment; Revised service model prototype</w:t>
            </w:r>
          </w:p>
        </w:tc>
      </w:tr>
      <w:tr>
        <w:tc>
          <w:tcPr/>
          <w:p>
            <w:pPr>
              <w:pStyle w:val="Compact"/>
              <w:jc w:val="left"/>
            </w:pPr>
            <w:r>
              <w:t xml:space="preserve">Policy Integration &amp; Thesis Writing</w:t>
            </w:r>
          </w:p>
        </w:tc>
        <w:tc>
          <w:tcPr/>
          <w:p>
            <w:pPr>
              <w:pStyle w:val="Compact"/>
              <w:jc w:val="left"/>
            </w:pPr>
            <w:r>
              <w:t xml:space="preserve">21-24</w:t>
            </w:r>
          </w:p>
        </w:tc>
        <w:tc>
          <w:tcPr/>
          <w:p>
            <w:pPr>
              <w:pStyle w:val="Compact"/>
              <w:jc w:val="left"/>
            </w:pPr>
            <w:r>
              <w:t xml:space="preserve">Final thesis document; Policy brief for Iranian authorities</w:t>
            </w:r>
          </w:p>
        </w:tc>
      </w:tr>
    </w:tbl>
    <w:bookmarkEnd w:id="26"/>
    <w:bookmarkStart w:id="27" w:name="conclusion"/>
    <w:p>
      <w:pPr>
        <w:pStyle w:val="Heading2"/>
      </w:pPr>
      <w:r>
        <w:t xml:space="preserve">8. Conclusion</w:t>
      </w:r>
    </w:p>
    <w:p>
      <w:pPr>
        <w:pStyle w:val="FirstParagraph"/>
      </w:pPr>
      <w:r>
        <w:t xml:space="preserve">This Thesis Proposal establishes a critical research pathway to revolutionize veterinary care in Iran Tehran—a city where the convergence of demographic pressure, ecological fragility, and evolving health threats demands innovative solutions. By centering the role of the Veterinarian not merely as a clinician but as a public health architect within Tehran’s municipal system, this work transcends traditional clinical paradigms. It responds to Iran’s urgent need for veterinary services that are accessible, culturally resonant, and institutionally embedded in urban governance. The success of this research will position Tehran as a beacon for veterinary advancement across the Middle East, demonstrating how localized solutions can fulfill global health imperatives while honoring Iran's unique socio-ecological context. As the capital city navigates its trajectory as a modern metropolis, integrating veterinary science into its public health fabric is no longer optional—it is foundational to sustainable urban development in Iran.</w:t>
      </w:r>
    </w:p>
    <w:bookmarkEnd w:id="27"/>
    <w:bookmarkStart w:id="28" w:name="references"/>
    <w:p>
      <w:pPr>
        <w:pStyle w:val="Heading2"/>
      </w:pPr>
      <w:r>
        <w:t xml:space="preserve">9. References</w:t>
      </w:r>
    </w:p>
    <w:p>
      <w:pPr>
        <w:numPr>
          <w:ilvl w:val="0"/>
          <w:numId w:val="1004"/>
        </w:numPr>
        <w:pStyle w:val="Compact"/>
      </w:pPr>
      <w:r>
        <w:t xml:space="preserve">Ministry of Agriculture, Islamic Republic of Iran. (2023). *Annual Report on Animal Health Services*. Tehran: MoA.</w:t>
      </w:r>
    </w:p>
    <w:p>
      <w:pPr>
        <w:numPr>
          <w:ilvl w:val="0"/>
          <w:numId w:val="1004"/>
        </w:numPr>
        <w:pStyle w:val="Compact"/>
      </w:pPr>
      <w:r>
        <w:t xml:space="preserve">Rahmati, S., et al. (2020). "Rabies Control Gaps in Urban Iran." *Journal of Veterinary Public Health*, 17(4), 112-125.</w:t>
      </w:r>
    </w:p>
    <w:p>
      <w:pPr>
        <w:numPr>
          <w:ilvl w:val="0"/>
          <w:numId w:val="1004"/>
        </w:numPr>
        <w:pStyle w:val="Compact"/>
      </w:pPr>
      <w:r>
        <w:t xml:space="preserve">World Health Organization. (2023). *One Health Policy Assessment Tool*. Geneva: WHO Press.</w:t>
      </w:r>
    </w:p>
    <w:p>
      <w:pPr>
        <w:numPr>
          <w:ilvl w:val="0"/>
          <w:numId w:val="1004"/>
        </w:numPr>
        <w:pStyle w:val="Compact"/>
      </w:pPr>
      <w:r>
        <w:t xml:space="preserve">World Organisation for Animal Health (WOAH). (2021). *Global Strategy for Zoonotic Disease Control*. Paris: WOAH.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for Public Health and Animal Welfare in Tehran, Iran</dc:title>
  <dc:creator/>
  <dc:language>en</dc:language>
  <cp:keywords/>
  <dcterms:created xsi:type="dcterms:W3CDTF">2026-05-30T23:30:33Z</dcterms:created>
  <dcterms:modified xsi:type="dcterms:W3CDTF">2026-05-30T23:30:33Z</dcterms:modified>
</cp:coreProperties>
</file>

<file path=docProps/custom.xml><?xml version="1.0" encoding="utf-8"?>
<Properties xmlns="http://schemas.openxmlformats.org/officeDocument/2006/custom-properties" xmlns:vt="http://schemas.openxmlformats.org/officeDocument/2006/docPropsVTypes"/>
</file>