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f1e44846660e9b7e2d3c0834bb3880779f4063a"/>
    <w:p>
      <w:pPr>
        <w:pStyle w:val="Heading1"/>
      </w:pPr>
      <w:r>
        <w:t xml:space="preserve">Thesis Proposal: Enhancing Sustainable Veterinary Healthcare Systems in Dakar, Senegal</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Veterinarian</w:t>
      </w:r>
      <w:r>
        <w:t xml:space="preserve"> </w:t>
      </w:r>
      <w:r>
        <w:t xml:space="preserve">extends far beyond animal healthcare—it is integral to public health, food security, economic stability, and environmental sustainability. In</w:t>
      </w:r>
      <w:r>
        <w:t xml:space="preserve"> </w:t>
      </w:r>
      <w:r>
        <w:rPr>
          <w:bCs/>
          <w:b/>
        </w:rPr>
        <w:t xml:space="preserve">Senegal Dakar</w:t>
      </w:r>
      <w:r>
        <w:t xml:space="preserve">, where livestock contributes approximately 15% to national GDP and supports livelihoods for over 40% of the rural population, inadequate veterinary infrastructure poses a critical challenge. Despite Dakar’s status as Senegal’s economic hub, veterinary services remain fragmented, underfunded, and inaccessible to smallholder farmers who depend on animals for income and nutrition. This Thesis Proposal addresses the urgent need to transform veterinary healthcare delivery in</w:t>
      </w:r>
      <w:r>
        <w:t xml:space="preserve"> </w:t>
      </w:r>
      <w:r>
        <w:rPr>
          <w:bCs/>
          <w:b/>
        </w:rPr>
        <w:t xml:space="preserve">Senegal Dakar</w:t>
      </w:r>
      <w:r>
        <w:t xml:space="preserve">, proposing a community-centered model that bridges gaps between urban facilities and rural demand. With rising zoonotic disease threats (including rabies, anthrax, and avian influenza) and climate-driven livestock vulnerabilities, this research directly responds to Senegal’s National Animal Health Strategy 2030.</w:t>
      </w:r>
    </w:p>
    <w:bookmarkEnd w:id="20"/>
    <w:bookmarkStart w:id="21" w:name="problem-statement"/>
    <w:p>
      <w:pPr>
        <w:pStyle w:val="Heading2"/>
      </w:pPr>
      <w:r>
        <w:t xml:space="preserve">Problem Statement</w:t>
      </w:r>
    </w:p>
    <w:p>
      <w:pPr>
        <w:pStyle w:val="FirstParagraph"/>
      </w:pPr>
      <w:r>
        <w:t xml:space="preserve">Dakar faces a severe deficit in veterinary human resources: only 1 veterinarian per 50,000 animals (vs. WHO’s recommended ratio of 1:5,000). Rural areas suffer from near-total absence of services, forcing farmers to rely on untrained traditional healers or risk livestock losses. This crisis undermines Senegal’s agricultural exports and exacerbates food insecurity—particularly for women and youth who manage 70% of livestock in peri-urban zones. Current initiatives (e.g., government mobile clinics) lack scalability due to insufficient funding, poor data systems, and cultural barriers. This Thesis Proposal will diagnose systemic weaknesses in Dakar’s veterinary ecosystem and co-design solutions with local stakeholders.</w:t>
      </w:r>
    </w:p>
    <w:bookmarkEnd w:id="21"/>
    <w:bookmarkStart w:id="22" w:name="research-objectives"/>
    <w:p>
      <w:pPr>
        <w:pStyle w:val="Heading2"/>
      </w:pPr>
      <w:r>
        <w:t xml:space="preserve">Research Objectives</w:t>
      </w:r>
    </w:p>
    <w:p>
      <w:pPr>
        <w:numPr>
          <w:ilvl w:val="0"/>
          <w:numId w:val="1001"/>
        </w:numPr>
        <w:pStyle w:val="Compact"/>
      </w:pPr>
      <w:r>
        <w:t xml:space="preserve">To map existing veterinary service gaps across Dakar’s 14 arrondissements using GIS-based spatial analysis, prioritizing underserved peri-urban zones.</w:t>
      </w:r>
    </w:p>
    <w:p>
      <w:pPr>
        <w:numPr>
          <w:ilvl w:val="0"/>
          <w:numId w:val="1001"/>
        </w:numPr>
        <w:pStyle w:val="Compact"/>
      </w:pPr>
      <w:r>
        <w:t xml:space="preserve">To evaluate socio-cultural barriers affecting veterinarian-client interactions through focus groups with 300 smallholder farmers (60% women) and community leaders.</w:t>
      </w:r>
    </w:p>
    <w:p>
      <w:pPr>
        <w:numPr>
          <w:ilvl w:val="0"/>
          <w:numId w:val="1001"/>
        </w:numPr>
        <w:pStyle w:val="Compact"/>
      </w:pPr>
      <w:r>
        <w:t xml:space="preserve">To assess the economic impact of veterinary service access on household income and livestock productivity via longitudinal surveys in 5 communes.</w:t>
      </w:r>
    </w:p>
    <w:p>
      <w:pPr>
        <w:numPr>
          <w:ilvl w:val="0"/>
          <w:numId w:val="1001"/>
        </w:numPr>
        <w:pStyle w:val="Compact"/>
      </w:pPr>
      <w:r>
        <w:t xml:space="preserve">To develop a scalable "Community Veterinary Agent" (CVA) training framework integrating traditional knowledge with modern diagnostics, co-designed with Senegalese veterinary colleges.</w:t>
      </w:r>
    </w:p>
    <w:p>
      <w:pPr>
        <w:numPr>
          <w:ilvl w:val="0"/>
          <w:numId w:val="1001"/>
        </w:numPr>
        <w:pStyle w:val="Compact"/>
      </w:pPr>
      <w:r>
        <w:t xml:space="preserve">To model cost-effective financing mechanisms for sustainable veterinary services, analyzing public-private partnership potential with Dakar’s Agro-Industry Cluster.</w:t>
      </w:r>
    </w:p>
    <w:bookmarkEnd w:id="22"/>
    <w:bookmarkStart w:id="23" w:name="literature-review-key-insights"/>
    <w:p>
      <w:pPr>
        <w:pStyle w:val="Heading2"/>
      </w:pPr>
      <w:r>
        <w:t xml:space="preserve">Literature Review (Key Insights)</w:t>
      </w:r>
    </w:p>
    <w:p>
      <w:pPr>
        <w:pStyle w:val="FirstParagraph"/>
      </w:pPr>
      <w:r>
        <w:t xml:space="preserve">Existing studies confirm that veterinary shortages in Sub-Saharan Africa correlate with 30–50% higher livestock mortality rates. Research by Diop (2021) on Senegal’s rural zones identified trust deficits as the primary barrier to veterinary adoption, while Oumar et al. (2023) demonstrated that mobile clinics increased vaccine uptake by 45% when culturally adapted. However, no prior work has holistically addressed Dakar’s unique urban-rural gradient or integrated gender-inclusive approaches. This proposal builds on Dr. Ndiaye’s (2022) framework for "African-Led Veterinary Innovation" but focuses specifically on Dakar’s demographic pressures and infrastructural context.</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gap analysis using veterinary facility data from Senegal’s Ministry of Livestock, satellite imagery for livestock density mapping, and household surveys across Dakar’s peri-urban corridors (e.g., Guédiawaye, Thiaroye).</w:t>
      </w:r>
    </w:p>
    <w:p>
      <w:pPr>
        <w:numPr>
          <w:ilvl w:val="0"/>
          <w:numId w:val="1002"/>
        </w:numPr>
        <w:pStyle w:val="Compact"/>
      </w:pPr>
      <w:r>
        <w:rPr>
          <w:bCs/>
          <w:b/>
        </w:rPr>
        <w:t xml:space="preserve">Phase 2 (Months 5–10):</w:t>
      </w:r>
      <w:r>
        <w:t xml:space="preserve"> </w:t>
      </w:r>
      <w:r>
        <w:t xml:space="preserve">Qualitative fieldwork involving in-depth interviews with 30 veterinarians, focus groups with farmers’ cooperatives, and participatory workshops to co-design the CVA model.</w:t>
      </w:r>
    </w:p>
    <w:p>
      <w:pPr>
        <w:numPr>
          <w:ilvl w:val="0"/>
          <w:numId w:val="1002"/>
        </w:numPr>
        <w:pStyle w:val="Compact"/>
      </w:pPr>
      <w:r>
        <w:rPr>
          <w:bCs/>
          <w:b/>
        </w:rPr>
        <w:t xml:space="preserve">Phase 3 (Months 11–18):</w:t>
      </w:r>
      <w:r>
        <w:t xml:space="preserve"> </w:t>
      </w:r>
      <w:r>
        <w:t xml:space="preserve">Pilot implementation of the CVA framework in two communes, measuring outcomes against baseline metrics (vaccine coverage, livestock mortality rates), followed by cost-benefit analysis for national scaling.</w:t>
      </w:r>
    </w:p>
    <w:p>
      <w:pPr>
        <w:pStyle w:val="FirstParagraph"/>
      </w:pPr>
      <w:r>
        <w:t xml:space="preserve">Data will be analyzed using NVivo for qualitative themes and SPSS for statistical modeling. Ethical clearance will be obtained from UCAD’s Institutional Review Board, with community consent protocols co-developed with Dakar’s Veterinary Association (SVC).</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dashboard showing real-time veterinary resource distribution across Dakar, enabling dynamic service allocation.</w:t>
      </w:r>
    </w:p>
    <w:p>
      <w:pPr>
        <w:numPr>
          <w:ilvl w:val="0"/>
          <w:numId w:val="1003"/>
        </w:numPr>
        <w:pStyle w:val="Compact"/>
      </w:pPr>
      <w:r>
        <w:t xml:space="preserve">A validated CVA certification program endorsed by Senegal’s Ministry of Livestock and veterinary schools (e.g., ENSV-UCAD), reducing the veterinarian shortage by 35% within 5 years.</w:t>
      </w:r>
    </w:p>
    <w:p>
      <w:pPr>
        <w:numPr>
          <w:ilvl w:val="0"/>
          <w:numId w:val="1003"/>
        </w:numPr>
        <w:pStyle w:val="Compact"/>
      </w:pPr>
      <w:r>
        <w:t xml:space="preserve">A replicable financing blueprint for Dakar’s municipal budget, linking veterinary services to tax revenues from livestock exports—a model applicable to West Africa’s 10+ urban centers.</w:t>
      </w:r>
    </w:p>
    <w:p>
      <w:pPr>
        <w:pStyle w:val="FirstParagraph"/>
      </w:pPr>
      <w:r>
        <w:t xml:space="preserve">The significance transcends academia: By prioritizing women-led farms (which produce 65% of Senegal’s dairy), this research directly advances SDGs 1 (No Poverty), 2 (Zero Hunger), and 3 (Good Health). It positions Dakar as a regional leader in "One Health" integration—connecting animal, human, and environmental health under the Pan-African Partnership for Animal Health.</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stakeholder mapping in Dakar</w:t>
            </w:r>
          </w:p>
        </w:tc>
      </w:tr>
      <w:tr>
        <w:tc>
          <w:tcPr/>
          <w:p>
            <w:pPr>
              <w:pStyle w:val="Compact"/>
              <w:jc w:val="left"/>
            </w:pPr>
            <w:r>
              <w:t xml:space="preserve">4–6</w:t>
            </w:r>
          </w:p>
        </w:tc>
        <w:tc>
          <w:tcPr/>
          <w:p>
            <w:pPr>
              <w:pStyle w:val="Compact"/>
              <w:jc w:val="left"/>
            </w:pPr>
            <w:r>
              <w:t xml:space="preserve">Data collection: GIS mapping, household surveys</w:t>
            </w:r>
          </w:p>
        </w:tc>
      </w:tr>
      <w:tr>
        <w:tc>
          <w:tcPr/>
          <w:p>
            <w:pPr>
              <w:pStyle w:val="Compact"/>
              <w:jc w:val="left"/>
            </w:pPr>
            <w:r>
              <w:t xml:space="preserve">7–10</w:t>
            </w:r>
          </w:p>
        </w:tc>
        <w:tc>
          <w:tcPr/>
          <w:p>
            <w:pPr>
              <w:pStyle w:val="Compact"/>
              <w:jc w:val="left"/>
            </w:pPr>
            <w:r>
              <w:t xml:space="preserve">Community workshops, CVA framework design</w:t>
            </w:r>
          </w:p>
        </w:tc>
      </w:tr>
      <w:tr>
        <w:tc>
          <w:tcPr/>
          <w:p>
            <w:pPr>
              <w:pStyle w:val="Compact"/>
              <w:jc w:val="left"/>
            </w:pPr>
            <w:r>
              <w:t xml:space="preserve">11–14</w:t>
            </w:r>
          </w:p>
        </w:tc>
        <w:tc>
          <w:tcPr/>
          <w:p>
            <w:pPr>
              <w:pStyle w:val="Compact"/>
              <w:jc w:val="left"/>
            </w:pPr>
            <w:r>
              <w:t xml:space="preserve">Pilot implementation in Thiaroye &amp; Guédiawaye communes</w:t>
            </w:r>
          </w:p>
        </w:tc>
      </w:tr>
      <w:tr>
        <w:tc>
          <w:tcPr/>
          <w:p>
            <w:pPr>
              <w:pStyle w:val="Compact"/>
              <w:jc w:val="left"/>
            </w:pPr>
            <w:r>
              <w:t xml:space="preserve">15–18</w:t>
            </w:r>
          </w:p>
        </w:tc>
        <w:tc>
          <w:tcPr/>
          <w:p>
            <w:pPr>
              <w:pStyle w:val="Compact"/>
              <w:jc w:val="left"/>
            </w:pPr>
            <w:r>
              <w:t xml:space="preserve">Data analysis, thesis drafting, policy brief to Senegal’s Ministry of Livestock</w:t>
            </w:r>
          </w:p>
        </w:tc>
      </w:tr>
    </w:tbl>
    <w:bookmarkEnd w:id="26"/>
    <w:bookmarkStart w:id="27" w:name="X0be335e5ab88b767e2d554e5611e2f81f881089"/>
    <w:p>
      <w:pPr>
        <w:pStyle w:val="Heading2"/>
      </w:pPr>
      <w:r>
        <w:t xml:space="preserve">Conclusion: A Pathway for Dakar's Veterinary Future</w:t>
      </w:r>
    </w:p>
    <w:p>
      <w:pPr>
        <w:pStyle w:val="FirstParagraph"/>
      </w:pPr>
      <w:r>
        <w:t xml:space="preserve">This Thesis Proposal transcends conventional academic inquiry—it is a catalyst for systemic change in</w:t>
      </w:r>
      <w:r>
        <w:t xml:space="preserve"> </w:t>
      </w:r>
      <w:r>
        <w:rPr>
          <w:bCs/>
          <w:b/>
        </w:rPr>
        <w:t xml:space="preserve">Senegal Dakar</w:t>
      </w:r>
      <w:r>
        <w:t xml:space="preserve">. By centering the expertise of local veterinarians and the needs of farming communities, we reject top-down solutions in favor of resilient, locally owned systems. As Senegal accelerates its Vision 2050 development goals, this research will provide actionable intelligence to transform veterinary care from a reactive emergency service into a proactive pillar of Dakar’s sustainable growth. The proposed CVA model respects Senegalese cultural context while leveraging mobile technology and community trust—a blueprint for Africa’s urbanizing landscapes. Ultimately, this work affirms that when the</w:t>
      </w:r>
      <w:r>
        <w:t xml:space="preserve"> </w:t>
      </w:r>
      <w:r>
        <w:rPr>
          <w:bCs/>
          <w:b/>
        </w:rPr>
        <w:t xml:space="preserve">Veterinarian</w:t>
      </w:r>
      <w:r>
        <w:t xml:space="preserve"> </w:t>
      </w:r>
      <w:r>
        <w:t xml:space="preserve">is empowered within their community, the health of people, animals, and ecosystems in</w:t>
      </w:r>
      <w:r>
        <w:t xml:space="preserve"> </w:t>
      </w:r>
      <w:r>
        <w:rPr>
          <w:bCs/>
          <w:b/>
        </w:rPr>
        <w:t xml:space="preserve">Senegal Dakar</w:t>
      </w:r>
      <w:r>
        <w:t xml:space="preserve"> </w:t>
      </w:r>
      <w:r>
        <w:t xml:space="preserve">becomes inseparable from prosperity itself.</w:t>
      </w:r>
    </w:p>
    <w:bookmarkEnd w:id="27"/>
    <w:bookmarkStart w:id="28" w:name="references-illustrative"/>
    <w:p>
      <w:pPr>
        <w:pStyle w:val="Heading2"/>
      </w:pPr>
      <w:r>
        <w:t xml:space="preserve">References (Illustrative)</w:t>
      </w:r>
    </w:p>
    <w:p>
      <w:pPr>
        <w:numPr>
          <w:ilvl w:val="0"/>
          <w:numId w:val="1004"/>
        </w:numPr>
        <w:pStyle w:val="Compact"/>
      </w:pPr>
      <w:r>
        <w:t xml:space="preserve">Diop, M. (2021). *Veterinary Service Accessibility in Rural Senegal*. Dakar: ISRA Press.</w:t>
      </w:r>
    </w:p>
    <w:p>
      <w:pPr>
        <w:numPr>
          <w:ilvl w:val="0"/>
          <w:numId w:val="1004"/>
        </w:numPr>
        <w:pStyle w:val="Compact"/>
      </w:pPr>
      <w:r>
        <w:t xml:space="preserve">Oumar, A., et al. (2023). "Mobile Clinics and Livestock Health Outcomes," *Journal of African Veterinary Science*, 45(2), 112–130.</w:t>
      </w:r>
    </w:p>
    <w:p>
      <w:pPr>
        <w:numPr>
          <w:ilvl w:val="0"/>
          <w:numId w:val="1004"/>
        </w:numPr>
        <w:pStyle w:val="Compact"/>
      </w:pPr>
      <w:r>
        <w:t xml:space="preserve">Sénégal Ministry of Livestock. (2020). *National Animal Health Strategy 2030*. Dakar: Government Publishing House.</w:t>
      </w:r>
    </w:p>
    <w:p>
      <w:pPr>
        <w:numPr>
          <w:ilvl w:val="0"/>
          <w:numId w:val="1004"/>
        </w:numPr>
        <w:pStyle w:val="Compact"/>
      </w:pPr>
      <w:r>
        <w:t xml:space="preserve">World Health Organization. (2022). *One Health Approach in Urban Settings*. Geneva: WHO Press.</w:t>
      </w:r>
    </w:p>
    <w:p>
      <w:pPr>
        <w:pStyle w:val="FirstParagraph"/>
      </w:pPr>
      <w:r>
        <w:rPr>
          <w:iCs/>
          <w:i/>
        </w:rPr>
        <w:t xml:space="preserve">This Thesis Proposal is submitted to the Faculty of Veterinary Medicine, University Cheikh Anta Diop (UCAD), Dakar, Senegal, for approval as a master’s research project. 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Dakar, Senegal</dc:title>
  <dc:creator/>
  <dc:language>en</dc:language>
  <cp:keywords/>
  <dcterms:created xsi:type="dcterms:W3CDTF">2025-12-10T20:39:28Z</dcterms:created>
  <dcterms:modified xsi:type="dcterms:W3CDTF">2025-12-10T20:39:28Z</dcterms:modified>
</cp:coreProperties>
</file>

<file path=docProps/custom.xml><?xml version="1.0" encoding="utf-8"?>
<Properties xmlns="http://schemas.openxmlformats.org/officeDocument/2006/custom-properties" xmlns:vt="http://schemas.openxmlformats.org/officeDocument/2006/docPropsVTypes"/>
</file>