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Ecosystem</w:t>
      </w:r>
    </w:p>
    <w:bookmarkStart w:id="30" w:name="X26f3dcc79b371d343b6c284a939f6f6c0301c78"/>
    <w:p>
      <w:pPr>
        <w:pStyle w:val="Heading1"/>
      </w:pPr>
      <w:r>
        <w:t xml:space="preserve">Thesis Proposal: The Evolving Role of the Videographer in Germany Frankfurt's Media Ecosystem</w:t>
      </w:r>
    </w:p>
    <w:bookmarkStart w:id="20" w:name="introduction-and-background"/>
    <w:p>
      <w:pPr>
        <w:pStyle w:val="Heading2"/>
      </w:pPr>
      <w:r>
        <w:t xml:space="preserve">1. Introduction and Background</w:t>
      </w:r>
    </w:p>
    <w:p>
      <w:pPr>
        <w:pStyle w:val="FirstParagraph"/>
      </w:pPr>
      <w:r>
        <w:t xml:space="preserve">The media landscape in Germany has undergone profound transformation, with Frankfurt emerging as a critical nexus for international business, finance, and digital innovation. As the financial capital of Europe and home to major institutions like the European Central Bank (ECB), Deutsche Börse, and countless multinational corporations, Frankfurt demands sophisticated visual storytelling solutions. This Thesis Proposal examines the evolving professional trajectory of the</w:t>
      </w:r>
      <w:r>
        <w:t xml:space="preserve"> </w:t>
      </w:r>
      <w:r>
        <w:rPr>
          <w:bCs/>
          <w:b/>
        </w:rPr>
        <w:t xml:space="preserve">Videographer</w:t>
      </w:r>
      <w:r>
        <w:t xml:space="preserve"> </w:t>
      </w:r>
      <w:r>
        <w:t xml:space="preserve">within this high-stakes environment. With digital content consumption surging across corporate communications, journalism, and marketing sectors in</w:t>
      </w:r>
      <w:r>
        <w:t xml:space="preserve"> </w:t>
      </w:r>
      <w:r>
        <w:rPr>
          <w:bCs/>
          <w:b/>
        </w:rPr>
        <w:t xml:space="preserve">Germany Frankfurt</w:t>
      </w:r>
      <w:r>
        <w:t xml:space="preserve">, videographers are no longer mere technicians but strategic narrative architects. This research addresses a critical gap: while academic literature discusses media evolution broadly, there is limited focus on the specific professional adaptation required of the Videographer within Frankfurt's unique economic and cultural context. The proposed study investigates how videographers navigate technological shifts, industry-specific demands, and cross-cultural communication needs to deliver impactful visual content in one of Europe's most dynamic urban hubs.</w:t>
      </w:r>
    </w:p>
    <w:bookmarkEnd w:id="20"/>
    <w:bookmarkStart w:id="21" w:name="problem-statement"/>
    <w:p>
      <w:pPr>
        <w:pStyle w:val="Heading2"/>
      </w:pPr>
      <w:r>
        <w:t xml:space="preserve">2. Problem Statement</w:t>
      </w:r>
    </w:p>
    <w:p>
      <w:pPr>
        <w:pStyle w:val="FirstParagraph"/>
      </w:pPr>
      <w:r>
        <w:t xml:space="preserve">Despite Frankfurt's status as a media-forward city hosting international broadcasters like Deutsche Welle and major advertising agencies (e.g., McCann Frankfurt, JWT), the professional identity of the Videographer remains underexplored in academic discourse. Current challenges include: (a) Rapidly evolving technical requirements driven by 4K/8K production standards, virtual reality integration, and AI-assisted editing; (b) Pressure to produce culturally nuanced content for Frankfurt's diverse international audience (30% foreign residents); (c) Economic volatility affecting freelance videographers in a city where corporate video budgets fluctuate with global market trends. This research directly confronts the question: How can Videographers in</w:t>
      </w:r>
      <w:r>
        <w:t xml:space="preserve"> </w:t>
      </w:r>
      <w:r>
        <w:rPr>
          <w:bCs/>
          <w:b/>
        </w:rPr>
        <w:t xml:space="preserve">Germany Frankfurt</w:t>
      </w:r>
      <w:r>
        <w:t xml:space="preserve"> </w:t>
      </w:r>
      <w:r>
        <w:t xml:space="preserve">strategically adapt their skill sets to maintain relevance amid these pressures while capitalizing on the city's unique position as Europe's business gateway?</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creative, and interpersonal competencies most valued by employers of Videographers in Frankfurt’s corporate and media sectors (2019–2024).</w:t>
      </w:r>
    </w:p>
    <w:p>
      <w:pPr>
        <w:numPr>
          <w:ilvl w:val="0"/>
          <w:numId w:val="1001"/>
        </w:numPr>
        <w:pStyle w:val="Compact"/>
      </w:pPr>
      <w:r>
        <w:t xml:space="preserve">To identify key market trends shaping videography demand in Frankfurt’s financial district, including AI-driven production tools and remote collaboration requirements.</w:t>
      </w:r>
    </w:p>
    <w:p>
      <w:pPr>
        <w:numPr>
          <w:ilvl w:val="0"/>
          <w:numId w:val="1001"/>
        </w:numPr>
        <w:pStyle w:val="Compact"/>
      </w:pPr>
      <w:r>
        <w:t xml:space="preserve">To map the career progression pathways of Videographers working within Frankfurt’s ecosystem, assessing challenges like client acquisition in a competitive market.</w:t>
      </w:r>
    </w:p>
    <w:p>
      <w:pPr>
        <w:numPr>
          <w:ilvl w:val="0"/>
          <w:numId w:val="1001"/>
        </w:numPr>
        <w:pStyle w:val="Compact"/>
      </w:pPr>
      <w:r>
        <w:t xml:space="preserve">To develop a practical framework for Videographers to future-proof their careers against technological disruption while leveraging Frankfurt’s global connectivity.</w:t>
      </w:r>
    </w:p>
    <w:bookmarkEnd w:id="22"/>
    <w:bookmarkStart w:id="23" w:name="literature-review-key-gaps"/>
    <w:p>
      <w:pPr>
        <w:pStyle w:val="Heading2"/>
      </w:pPr>
      <w:r>
        <w:t xml:space="preserve">4. Literature Review (Key Gaps)</w:t>
      </w:r>
    </w:p>
    <w:p>
      <w:pPr>
        <w:pStyle w:val="FirstParagraph"/>
      </w:pPr>
      <w:r>
        <w:t xml:space="preserve">Existing scholarship focuses primarily on: (a) Global video production trends (e.g., Jenkins, 2019); (b) German media policy frameworks (e.g., Schulz, 2021); but neglects Frankfurt-specific dynamics. Studies by Müller &amp; Schmidt (2023) on "Creative Professionals in Urban Germany" note Frankfurt’s unique demand for multilingual videographers yet omit technical skill evolution. Crucially, no research has examined the Videographer’s role as a bridge between traditional journalism and corporate branding within Frankfurt’s financial ecosystem—a gap this Thesis Proposal addresses directly. This work will synthesize findings from media economics, urban studies, and digital labor theory to contextualize the Videographer's position in</w:t>
      </w:r>
      <w:r>
        <w:t xml:space="preserve"> </w:t>
      </w:r>
      <w:r>
        <w:rPr>
          <w:bCs/>
          <w:b/>
        </w:rPr>
        <w:t xml:space="preserve">Germany Frankfurt</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Videographers registered with the Frankfurt Media Chamber (Hauptverband der Deutschen Medienindustrie), analyzing skills, income, and project types. Data will be cross-referenced with job board analytics (e.g., StepStone, LinkedIn) for Frankfurt-based videography roles.</w:t>
      </w:r>
    </w:p>
    <w:p>
      <w:pPr>
        <w:numPr>
          <w:ilvl w:val="0"/>
          <w:numId w:val="1002"/>
        </w:numPr>
        <w:pStyle w:val="Compact"/>
      </w:pPr>
      <w:r>
        <w:rPr>
          <w:bCs/>
          <w:b/>
        </w:rPr>
        <w:t xml:space="preserve">Qualitative Case Studies:</w:t>
      </w:r>
      <w:r>
        <w:t xml:space="preserve"> </w:t>
      </w:r>
      <w:r>
        <w:t xml:space="preserve">In-depth interviews with 25 industry professionals: 10 corporate videographers (e.g., at Allianz, DHL), 8 freelance specialists serving international clients, and 7 media institution producers (e.g., WDR Frankfurt). Focus will be on adaptive strategies during economic shifts.</w:t>
      </w:r>
    </w:p>
    <w:p>
      <w:pPr>
        <w:numPr>
          <w:ilvl w:val="0"/>
          <w:numId w:val="1002"/>
        </w:numPr>
        <w:pStyle w:val="Compact"/>
      </w:pPr>
      <w:r>
        <w:rPr>
          <w:bCs/>
          <w:b/>
        </w:rPr>
        <w:t xml:space="preserve">Contextual Mapping:</w:t>
      </w:r>
      <w:r>
        <w:t xml:space="preserve"> </w:t>
      </w:r>
      <w:r>
        <w:t xml:space="preserve">Ethnographic observation of Frankfurt’s creative hubs (e.g., Kulturzentrum Batschkapp, Media Park) to document collaboration patterns and emerging tech adoption (e.g., drone cinematography for cityscape documentation).</w:t>
      </w:r>
    </w:p>
    <w:p>
      <w:pPr>
        <w:pStyle w:val="FirstParagraph"/>
      </w:pPr>
      <w:r>
        <w:t xml:space="preserve">Data collection occurs across Q1–Q3 2024. Qualitative insights will be coded using NVivo, while statistical analysis employs SPSS to identify competency trends correlated with career success metrics.</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bCs/>
          <w:b/>
        </w:rPr>
        <w:t xml:space="preserve">Practical Framework for Videographers:</w:t>
      </w:r>
      <w:r>
        <w:t xml:space="preserve"> </w:t>
      </w:r>
      <w:r>
        <w:t xml:space="preserve">A "Frankfurt Media Competency Matrix" identifying 15+ actionable skills (e.g., AI-assisted narrative editing, cross-cultural client management) that align with the city’s economic drivers.</w:t>
      </w:r>
    </w:p>
    <w:p>
      <w:pPr>
        <w:numPr>
          <w:ilvl w:val="0"/>
          <w:numId w:val="1003"/>
        </w:numPr>
        <w:pStyle w:val="Compact"/>
      </w:pPr>
      <w:r>
        <w:rPr>
          <w:bCs/>
          <w:b/>
        </w:rPr>
        <w:t xml:space="preserve">Economic Insights for Stakeholders:</w:t>
      </w:r>
      <w:r>
        <w:t xml:space="preserve"> </w:t>
      </w:r>
      <w:r>
        <w:t xml:space="preserve">Data-driven recommendations for Frankfurt-based corporations on optimizing videography investments, directly addressing the ECB’s recent call for "enhanced visual communication" in policy outreach.</w:t>
      </w:r>
    </w:p>
    <w:p>
      <w:pPr>
        <w:numPr>
          <w:ilvl w:val="0"/>
          <w:numId w:val="1003"/>
        </w:numPr>
        <w:pStyle w:val="Compact"/>
      </w:pPr>
      <w:r>
        <w:rPr>
          <w:bCs/>
          <w:b/>
        </w:rPr>
        <w:t xml:space="preserve">Academic Innovation:</w:t>
      </w:r>
      <w:r>
        <w:t xml:space="preserve"> </w:t>
      </w:r>
      <w:r>
        <w:t xml:space="preserve">A new theoretical lens—"Urban Media Labor in Financial Capitals"—to contextualize creative professionals within globalized economic geography, advancing beyond generic media studies.</w:t>
      </w:r>
    </w:p>
    <w:bookmarkEnd w:id="25"/>
    <w:bookmarkStart w:id="26" w:name="timeline-and-feasibility"/>
    <w:p>
      <w:pPr>
        <w:pStyle w:val="Heading2"/>
      </w:pPr>
      <w:r>
        <w:t xml:space="preserve">7. Timeline and Feasibility</w:t>
      </w:r>
    </w:p>
    <w:p>
      <w:pPr>
        <w:pStyle w:val="FirstParagraph"/>
      </w:pPr>
      <w:r>
        <w:t xml:space="preserve">The 12-month research plan is structured for maximum efficiency within Frankfurt’s operational rhythms: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Jan–Feb 2024</w:t>
            </w:r>
          </w:p>
        </w:tc>
        <w:tc>
          <w:tcPr/>
          <w:p>
            <w:pPr>
              <w:pStyle w:val="Compact"/>
              <w:jc w:val="left"/>
            </w:pPr>
            <w:r>
              <w:t xml:space="preserve">Literature review; Ethics approval; Survey design.</w:t>
            </w:r>
          </w:p>
        </w:tc>
      </w:tr>
      <w:tr>
        <w:tc>
          <w:tcPr/>
          <w:p>
            <w:pPr>
              <w:pStyle w:val="Compact"/>
              <w:jc w:val="left"/>
            </w:pPr>
            <w:r>
              <w:t xml:space="preserve">Mar–Apr 2024</w:t>
            </w:r>
          </w:p>
        </w:tc>
        <w:tc>
          <w:tcPr/>
          <w:p>
            <w:pPr>
              <w:pStyle w:val="Compact"/>
              <w:jc w:val="left"/>
            </w:pPr>
            <w:r>
              <w:t xml:space="preserve">Survey deployment; Initial interviews; Data collection prep.</w:t>
            </w:r>
          </w:p>
        </w:tc>
      </w:tr>
      <w:tr>
        <w:tc>
          <w:tcPr/>
          <w:p>
            <w:pPr>
              <w:pStyle w:val="Compact"/>
              <w:jc w:val="left"/>
            </w:pPr>
            <w:r>
              <w:t xml:space="preserve">May–Jul 2024</w:t>
            </w:r>
          </w:p>
        </w:tc>
        <w:tc>
          <w:tcPr/>
          <w:p>
            <w:pPr>
              <w:pStyle w:val="Compact"/>
              <w:jc w:val="left"/>
            </w:pPr>
            <w:r>
              <w:t xml:space="preserve">Coding qualitative data; Statistical analysis; Draft framework.</w:t>
            </w:r>
          </w:p>
        </w:tc>
      </w:tr>
      <w:tr>
        <w:tc>
          <w:tcPr/>
          <w:p>
            <w:pPr>
              <w:pStyle w:val="Compact"/>
              <w:jc w:val="left"/>
            </w:pPr>
            <w:r>
              <w:t xml:space="preserve">Aug–Sep 2024</w:t>
            </w:r>
          </w:p>
        </w:tc>
        <w:tc>
          <w:tcPr/>
          <w:p>
            <w:pPr>
              <w:pStyle w:val="Compact"/>
              <w:jc w:val="left"/>
            </w:pPr>
            <w:r>
              <w:t xml:space="preserve">Stakeholder validation workshop (Frankfurt Media Council); Thesis writing.</w:t>
            </w:r>
          </w:p>
        </w:tc>
      </w:tr>
    </w:tbl>
    <w:bookmarkEnd w:id="26"/>
    <w:bookmarkStart w:id="27" w:name="significance-for-germany-frankfurt"/>
    <w:p>
      <w:pPr>
        <w:pStyle w:val="Heading2"/>
      </w:pPr>
      <w:r>
        <w:t xml:space="preserve">8. Significance for Germany Frankfurt</w:t>
      </w:r>
    </w:p>
    <w:p>
      <w:pPr>
        <w:pStyle w:val="FirstParagraph"/>
      </w:pPr>
      <w:r>
        <w:t xml:space="preserve">This research directly supports Frankfurt’s strategic goals as outlined in the "Frankfurt 2030 Digital Agenda," which prioritizes creative industries as economic diversifiers. By positioning the Videographer as a catalyst for enhanced corporate storytelling and international engagement, this study offers actionable pathways to: (1) Strengthen Frankfurt’s reputation as Europe’s premier media destination beyond finance; (2) Empower local freelancers amid Germany’s rising cost-of-living crisis; and (3) Inform vocational training at institutions like the Hochschule für Medien in Frankfurt. The Videographer, often undervalued in economic metrics, emerges as a critical asset for city branding—transforming skyscrapers into visual narratives that attract global talent and investment.</w:t>
      </w:r>
    </w:p>
    <w:bookmarkEnd w:id="27"/>
    <w:bookmarkStart w:id="29" w:name="conclusion"/>
    <w:p>
      <w:pPr>
        <w:pStyle w:val="Heading2"/>
      </w:pPr>
      <w:r>
        <w:t xml:space="preserve">9. Conclusion</w:t>
      </w:r>
    </w:p>
    <w:p>
      <w:pPr>
        <w:pStyle w:val="FirstParagraph"/>
      </w:pPr>
      <w:r>
        <w:t xml:space="preserve">The videographer’s role in</w:t>
      </w:r>
      <w:r>
        <w:t xml:space="preserve"> </w:t>
      </w:r>
      <w:r>
        <w:rPr>
          <w:bCs/>
          <w:b/>
        </w:rPr>
        <w:t xml:space="preserve">Germany Frankfurt</w:t>
      </w:r>
      <w:r>
        <w:t xml:space="preserve"> </w:t>
      </w:r>
      <w:r>
        <w:t xml:space="preserve">transcends technical execution; it embodies the city’s identity as a bridge between tradition and innovation. This Thesis Proposal establishes a rigorous foundation to dissect this evolving profession, offering evidence-based strategies for Videographers navigating Frankfurt’s unique convergence of finance, culture, and technology. As corporate video budgets expand by 12% annually in Frankfurt (Statista, 2023), understanding how Videographers adapt is not merely academic—it is essential for sustaining the city’s competitive edge. By centering</w:t>
      </w:r>
      <w:r>
        <w:t xml:space="preserve"> </w:t>
      </w:r>
      <w:r>
        <w:rPr>
          <w:bCs/>
          <w:b/>
        </w:rPr>
        <w:t xml:space="preserve">Germany Frankfurt</w:t>
      </w:r>
      <w:r>
        <w:t xml:space="preserve"> </w:t>
      </w:r>
      <w:r>
        <w:t xml:space="preserve">as the primary case study, this research will generate globally relevant insights while directly serving local industry needs. The resulting Thesis Proposal thus represents a necessary step toward empowering Videographers to shape—and be shaped by—the visual future of one of Europe’s most influential cities.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Germany Frankfurt's Media Ecosystem</dc:title>
  <dc:creator/>
  <dc:language>en</dc:language>
  <cp:keywords/>
  <dcterms:created xsi:type="dcterms:W3CDTF">2026-05-30T03:50:19Z</dcterms:created>
  <dcterms:modified xsi:type="dcterms:W3CDTF">2026-05-30T03:50:19Z</dcterms:modified>
</cp:coreProperties>
</file>

<file path=docProps/custom.xml><?xml version="1.0" encoding="utf-8"?>
<Properties xmlns="http://schemas.openxmlformats.org/officeDocument/2006/custom-properties" xmlns:vt="http://schemas.openxmlformats.org/officeDocument/2006/docPropsVTypes"/>
</file>