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Indonesia</w:t>
      </w:r>
      <w:r>
        <w:t xml:space="preserve"> </w:t>
      </w:r>
      <w:r>
        <w:t xml:space="preserve">Jakarta</w:t>
      </w:r>
    </w:p>
    <w:bookmarkStart w:id="30" w:name="X77e1265fda8b78802ce398e193f02ee654183cf"/>
    <w:p>
      <w:pPr>
        <w:pStyle w:val="Heading1"/>
      </w:pPr>
      <w:r>
        <w:t xml:space="preserve">Thesis Proposal: The Role of Web Designer in Digital Transformation within Indonesia Jakarta</w:t>
      </w:r>
    </w:p>
    <w:bookmarkStart w:id="20" w:name="introduction-and-background"/>
    <w:p>
      <w:pPr>
        <w:pStyle w:val="Heading2"/>
      </w:pPr>
      <w:r>
        <w:t xml:space="preserve">Introduction and Background</w:t>
      </w:r>
    </w:p>
    <w:p>
      <w:pPr>
        <w:pStyle w:val="FirstParagraph"/>
      </w:pPr>
      <w:r>
        <w:t xml:space="preserve">The rapid digital transformation sweeping across Indonesia has positioned Jakarta as the epicenter of technological innovation in Southeast Asia. As the nation's political, economic, and cultural capital, Jakarta hosts over 10 million internet users driving a booming digital economy projected to reach $167 billion by 2030. Within this dynamic landscape, the role of the</w:t>
      </w:r>
      <w:r>
        <w:t xml:space="preserve"> </w:t>
      </w:r>
      <w:r>
        <w:rPr>
          <w:iCs/>
          <w:i/>
        </w:rPr>
        <w:t xml:space="preserve">Web Designer</w:t>
      </w:r>
      <w:r>
        <w:t xml:space="preserve"> </w:t>
      </w:r>
      <w:r>
        <w:t xml:space="preserve">has evolved from mere aesthetic creation to a strategic business function critical for organizational competitiveness. This</w:t>
      </w:r>
      <w:r>
        <w:t xml:space="preserve"> </w:t>
      </w:r>
      <w:r>
        <w:rPr>
          <w:bCs/>
          <w:b/>
        </w:rPr>
        <w:t xml:space="preserve">Thesis Proposal</w:t>
      </w:r>
      <w:r>
        <w:t xml:space="preserve"> </w:t>
      </w:r>
      <w:r>
        <w:t xml:space="preserve">examines the multifaceted responsibilities, skill requirements, and market dynamics of professional</w:t>
      </w:r>
      <w:r>
        <w:t xml:space="preserve"> </w:t>
      </w:r>
      <w:r>
        <w:rPr>
          <w:iCs/>
          <w:i/>
        </w:rPr>
        <w:t xml:space="preserve">Web Designer</w:t>
      </w:r>
      <w:r>
        <w:t xml:space="preserve">s operating specifically within Indonesia Jakarta's unique socio-economic context.</w:t>
      </w:r>
    </w:p>
    <w:bookmarkEnd w:id="20"/>
    <w:bookmarkStart w:id="21" w:name="problem-statement"/>
    <w:p>
      <w:pPr>
        <w:pStyle w:val="Heading2"/>
      </w:pPr>
      <w:r>
        <w:t xml:space="preserve">Problem Statement</w:t>
      </w:r>
    </w:p>
    <w:p>
      <w:pPr>
        <w:pStyle w:val="FirstParagraph"/>
      </w:pPr>
      <w:r>
        <w:t xml:space="preserve">A significant gap exists between the escalating demand for digital presence in Jakarta's business ecosystem and the current capabilities of local Web Designers. While 78% of Indonesian SMEs recognize the importance of professional websites (World Bank, 2023), only 34% employ dedicated Web Designers with industry-specific expertise. This deficit manifests in suboptimal user experiences, low mobile conversion rates (averaging 19% for Jakarta-based sites versus the global benchmark of 55%), and cultural misalignment in digital interfaces. The absence of localized research on Web Designer competency frameworks within Indonesia Jakarta creates a critical knowledge vacuum hindering both professional development and business outcomes.</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set requirements for effective Web Designers serving Jakarta's diverse market segments (e-commerce, government services, tourism, fintech).</w:t>
      </w:r>
    </w:p>
    <w:p>
      <w:pPr>
        <w:numPr>
          <w:ilvl w:val="0"/>
          <w:numId w:val="1001"/>
        </w:numPr>
        <w:pStyle w:val="Compact"/>
      </w:pPr>
      <w:r>
        <w:t xml:space="preserve">To analyze cultural and linguistic factors influencing user interface preferences among Jakarta's urban demographic (ages 18-45).</w:t>
      </w:r>
    </w:p>
    <w:p>
      <w:pPr>
        <w:numPr>
          <w:ilvl w:val="0"/>
          <w:numId w:val="1001"/>
        </w:numPr>
        <w:pStyle w:val="Compact"/>
      </w:pPr>
      <w:r>
        <w:t xml:space="preserve">To identify barriers preventing Web Designers in Indonesia Jakarta from achieving international competitive standards.</w:t>
      </w:r>
    </w:p>
    <w:p>
      <w:pPr>
        <w:numPr>
          <w:ilvl w:val="0"/>
          <w:numId w:val="1001"/>
        </w:numPr>
        <w:pStyle w:val="Compact"/>
      </w:pPr>
      <w:r>
        <w:t xml:space="preserve">To propose a culturally attuned competency framework for Web Designers operating within the Indonesian digital economy.</w:t>
      </w:r>
    </w:p>
    <w:bookmarkEnd w:id="22"/>
    <w:bookmarkStart w:id="23" w:name="X44e3d294d789be597d32f0dfa2dcadc5b0c037c"/>
    <w:p>
      <w:pPr>
        <w:pStyle w:val="Heading2"/>
      </w:pPr>
      <w:r>
        <w:t xml:space="preserve">Literature Review: Gaps in Current Research</w:t>
      </w:r>
    </w:p>
    <w:p>
      <w:pPr>
        <w:pStyle w:val="FirstParagraph"/>
      </w:pPr>
      <w:r>
        <w:t xml:space="preserve">Existing literature predominantly focuses on Western or Singaporean contexts (e.g., Nielsen Norman Group, 2022), overlooking Indonesia's unique digital landscape. Studies by Dwi &amp; Suryani (Journal of Southeast Asian Digital Studies, 2021) highlight Jakarta's high smartphone penetration (96%) but neglect how this impacts design workflows. Crucially absent is research addressing the intersection of Bahasa Indonesia linguistic nuances, local payment preferences (e.g., OVO, GoPay), and Islamic cultural considerations in web design. This</w:t>
      </w:r>
      <w:r>
        <w:t xml:space="preserve"> </w:t>
      </w:r>
      <w:r>
        <w:rPr>
          <w:bCs/>
          <w:b/>
        </w:rPr>
        <w:t xml:space="preserve">Thesis Proposal</w:t>
      </w:r>
      <w:r>
        <w:t xml:space="preserve"> </w:t>
      </w:r>
      <w:r>
        <w:t xml:space="preserve">directly addresses these omissions by centering Jakarta as its primary research ecosystem.</w:t>
      </w:r>
    </w:p>
    <w:bookmarkEnd w:id="23"/>
    <w:bookmarkStart w:id="24" w:name="methodology"/>
    <w:p>
      <w:pPr>
        <w:pStyle w:val="Heading2"/>
      </w:pPr>
      <w:r>
        <w:t xml:space="preserve">Methodology</w:t>
      </w:r>
    </w:p>
    <w:p>
      <w:pPr>
        <w:pStyle w:val="FirstParagraph"/>
      </w:pPr>
      <w:r>
        <w:t xml:space="preserve">This mixed-methods study will employ three phases conducted exclusively within Indonesia Jakarta:</w:t>
      </w:r>
    </w:p>
    <w:p>
      <w:pPr>
        <w:numPr>
          <w:ilvl w:val="0"/>
          <w:numId w:val="1002"/>
        </w:numPr>
        <w:pStyle w:val="Compact"/>
      </w:pPr>
      <w:r>
        <w:rPr>
          <w:bCs/>
          <w:b/>
        </w:rPr>
        <w:t xml:space="preserve">Phase 1: Quantitative Survey (N=300)</w:t>
      </w:r>
      <w:r>
        <w:t xml:space="preserve"> </w:t>
      </w:r>
      <w:r>
        <w:t xml:space="preserve">- Administering structured questionnaires to Web Designers (n=150) and business decision-makers (n=150) across Jakarta's key sectors. Metrics include skill assessment, tool proficiency, client communication challenges, and cultural adaptation strategies.</w:t>
      </w:r>
    </w:p>
    <w:p>
      <w:pPr>
        <w:numPr>
          <w:ilvl w:val="0"/>
          <w:numId w:val="1002"/>
        </w:numPr>
        <w:pStyle w:val="Compact"/>
      </w:pPr>
      <w:r>
        <w:rPr>
          <w:bCs/>
          <w:b/>
        </w:rPr>
        <w:t xml:space="preserve">Phase 2: Qualitative Case Studies (6 Organizations)</w:t>
      </w:r>
      <w:r>
        <w:t xml:space="preserve"> </w:t>
      </w:r>
      <w:r>
        <w:t xml:space="preserve">- In-depth analysis of successful web projects in Jakarta (e.g., Tokopedia's localization strategy, Bank Mandiri's government portal redesign) with stakeholders to extract design best practices.</w:t>
      </w:r>
    </w:p>
    <w:p>
      <w:pPr>
        <w:numPr>
          <w:ilvl w:val="0"/>
          <w:numId w:val="1002"/>
        </w:numPr>
        <w:pStyle w:val="Compact"/>
      </w:pPr>
      <w:r>
        <w:rPr>
          <w:bCs/>
          <w:b/>
        </w:rPr>
        <w:t xml:space="preserve">Phase 3: User Testing with Jakarta Residents</w:t>
      </w:r>
      <w:r>
        <w:t xml:space="preserve"> </w:t>
      </w:r>
      <w:r>
        <w:t xml:space="preserve">- Conducting A/B testing on prototype interfaces with 200 participants representing Jakarta's linguistic and cultural diversity (Javanese, Sundanese, Betawi communities), measuring engagement metrics against standardized UX frameworks.</w:t>
      </w:r>
    </w:p>
    <w:bookmarkEnd w:id="24"/>
    <w:bookmarkStart w:id="25" w:name="Xedaf6e4c74e60680bb24bcbc9bb49b01684a89d"/>
    <w:p>
      <w:pPr>
        <w:pStyle w:val="Heading2"/>
      </w:pPr>
      <w:r>
        <w:t xml:space="preserve">Expected Contribution to Indonesia Jakarta's Digital Ecosystem</w:t>
      </w:r>
    </w:p>
    <w:p>
      <w:pPr>
        <w:pStyle w:val="FirstParagraph"/>
      </w:pPr>
      <w:r>
        <w:t xml:space="preserve">This research promises transformative value for Indonesia Jakarta by delivering:</w:t>
      </w:r>
    </w:p>
    <w:p>
      <w:pPr>
        <w:numPr>
          <w:ilvl w:val="0"/>
          <w:numId w:val="1003"/>
        </w:numPr>
        <w:pStyle w:val="Compact"/>
      </w:pPr>
      <w:r>
        <w:t xml:space="preserve">A validated Web Designer Competency Framework tailored to Jakarta's market, including essential skills in Bahasa Indonesia microcopy, mobile-first design for low-bandwidth contexts (critical given 45% of Jakarta users access via 3G), and culturally sensitive color/imagery guidelines.</w:t>
      </w:r>
    </w:p>
    <w:p>
      <w:pPr>
        <w:numPr>
          <w:ilvl w:val="0"/>
          <w:numId w:val="1003"/>
        </w:numPr>
        <w:pStyle w:val="Compact"/>
      </w:pPr>
      <w:r>
        <w:t xml:space="preserve">Actionable insights for educational institutions (e.g., UI/UX programs at BINUS University, ITS) to align curricula with local industry needs.</w:t>
      </w:r>
    </w:p>
    <w:p>
      <w:pPr>
        <w:numPr>
          <w:ilvl w:val="0"/>
          <w:numId w:val="1003"/>
        </w:numPr>
        <w:pStyle w:val="Compact"/>
      </w:pPr>
      <w:r>
        <w:t xml:space="preserve">Strategic recommendations for Jakarta-based businesses on hiring and collaborating with Web Designers to achieve higher user retention (target: +35% conversion rates).</w:t>
      </w:r>
    </w:p>
    <w:p>
      <w:pPr>
        <w:numPr>
          <w:ilvl w:val="0"/>
          <w:numId w:val="1003"/>
        </w:numPr>
        <w:pStyle w:val="Compact"/>
      </w:pPr>
      <w:r>
        <w:t xml:space="preserve">A public dataset of Jakarta-specific UX patterns contributing to Indonesia's digital policy development under the Ministry of Communication and Informatics.</w:t>
      </w:r>
    </w:p>
    <w:bookmarkEnd w:id="25"/>
    <w:bookmarkStart w:id="26" w:name="Xe38a545c67dadfa27d7b9e741c8bcfb5d386f44"/>
    <w:p>
      <w:pPr>
        <w:pStyle w:val="Heading2"/>
      </w:pPr>
      <w:r>
        <w:t xml:space="preserve">Significance for Web Designer Professional Development</w:t>
      </w:r>
    </w:p>
    <w:p>
      <w:pPr>
        <w:pStyle w:val="FirstParagraph"/>
      </w:pPr>
      <w:r>
        <w:t xml:space="preserve">Current professional certification pathways (e.g., Google UX Design Certificate, local training centers) lack Jakarta-specific content. This research will empower Web Designers by:</w:t>
      </w:r>
    </w:p>
    <w:p>
      <w:pPr>
        <w:numPr>
          <w:ilvl w:val="0"/>
          <w:numId w:val="1004"/>
        </w:numPr>
        <w:pStyle w:val="Compact"/>
      </w:pPr>
      <w:r>
        <w:t xml:space="preserve">Establishing clear career progression milestones within Indonesia's digital economy.</w:t>
      </w:r>
    </w:p>
    <w:p>
      <w:pPr>
        <w:numPr>
          <w:ilvl w:val="0"/>
          <w:numId w:val="1004"/>
        </w:numPr>
        <w:pStyle w:val="Compact"/>
      </w:pPr>
      <w:r>
        <w:t xml:space="preserve">Creating culturally contextualized design templates and style guides for common Jakarta business needs (e.g., Ramadan campaign sites, multi-lingual e-commerce interfaces).</w:t>
      </w:r>
    </w:p>
    <w:p>
      <w:pPr>
        <w:numPr>
          <w:ilvl w:val="0"/>
          <w:numId w:val="1004"/>
        </w:numPr>
        <w:pStyle w:val="Compact"/>
      </w:pPr>
      <w:r>
        <w:t xml:space="preserve">Addressing the critical gap in understanding how Indonesian user behavior (e.g., preference for social commerce integrations via WhatsApp) shapes effective web architecture.</w:t>
      </w:r>
    </w:p>
    <w:bookmarkEnd w:id="26"/>
    <w:bookmarkStart w:id="27" w:name="timeline-and-feasibility"/>
    <w:p>
      <w:pPr>
        <w:pStyle w:val="Heading2"/>
      </w:pPr>
      <w:r>
        <w:t xml:space="preserve">Timeline and Feasibility</w:t>
      </w:r>
    </w:p>
    <w:p>
      <w:pPr>
        <w:pStyle w:val="FirstParagraph"/>
      </w:pPr>
      <w:r>
        <w:t xml:space="preserve">Conducted within a 10-month academic timeline, this project leverages Jakarta's established research infrastructure:</w:t>
      </w:r>
    </w:p>
    <w:p>
      <w:pPr>
        <w:numPr>
          <w:ilvl w:val="0"/>
          <w:numId w:val="1005"/>
        </w:numPr>
        <w:pStyle w:val="Compact"/>
      </w:pPr>
      <w:r>
        <w:rPr>
          <w:iCs/>
          <w:i/>
        </w:rPr>
        <w:t xml:space="preserve">Months 1-3:</w:t>
      </w:r>
      <w:r>
        <w:t xml:space="preserve"> </w:t>
      </w:r>
      <w:r>
        <w:t xml:space="preserve">Literature review refinement, IRB approval from Universitas Indonesia, survey instrument development.</w:t>
      </w:r>
    </w:p>
    <w:p>
      <w:pPr>
        <w:numPr>
          <w:ilvl w:val="0"/>
          <w:numId w:val="1005"/>
        </w:numPr>
        <w:pStyle w:val="Compact"/>
      </w:pPr>
      <w:r>
        <w:rPr>
          <w:iCs/>
          <w:i/>
        </w:rPr>
        <w:t xml:space="preserve">Months 4-6:</w:t>
      </w:r>
      <w:r>
        <w:t xml:space="preserve"> </w:t>
      </w:r>
      <w:r>
        <w:t xml:space="preserve">Data collection across Jakarta (with support from local tech associations like IATI Jakarta).</w:t>
      </w:r>
    </w:p>
    <w:p>
      <w:pPr>
        <w:numPr>
          <w:ilvl w:val="0"/>
          <w:numId w:val="1005"/>
        </w:numPr>
        <w:pStyle w:val="Compact"/>
      </w:pPr>
      <w:r>
        <w:rPr>
          <w:iCs/>
          <w:i/>
        </w:rPr>
        <w:t xml:space="preserve">Months 7-8:</w:t>
      </w:r>
      <w:r>
        <w:t xml:space="preserve"> </w:t>
      </w:r>
      <w:r>
        <w:t xml:space="preserve">Qualitative case analysis and user testing coordination.</w:t>
      </w:r>
    </w:p>
    <w:p>
      <w:pPr>
        <w:numPr>
          <w:ilvl w:val="0"/>
          <w:numId w:val="1005"/>
        </w:numPr>
        <w:pStyle w:val="Compact"/>
      </w:pPr>
      <w:r>
        <w:rPr>
          <w:iCs/>
          <w:i/>
        </w:rPr>
        <w:t xml:space="preserve">Months 9-10:</w:t>
      </w:r>
      <w:r>
        <w:t xml:space="preserve"> </w:t>
      </w:r>
      <w:r>
        <w:t xml:space="preserve">Framework development, validation workshops with Jakarta design agencies, final thesis compilation.</w:t>
      </w:r>
    </w:p>
    <w:bookmarkEnd w:id="27"/>
    <w:bookmarkStart w:id="28" w:name="conclusion-the-strategic-imperative"/>
    <w:p>
      <w:pPr>
        <w:pStyle w:val="Heading2"/>
      </w:pPr>
      <w:r>
        <w:t xml:space="preserve">Conclusion: The Strategic Imperative</w:t>
      </w:r>
    </w:p>
    <w:p>
      <w:pPr>
        <w:pStyle w:val="FirstParagraph"/>
      </w:pPr>
      <w:r>
        <w:t xml:space="preserve">In an era where digital presence determines business survival in Indonesia Jakarta's hypercompetitive market, this</w:t>
      </w:r>
      <w:r>
        <w:t xml:space="preserve"> </w:t>
      </w:r>
      <w:r>
        <w:rPr>
          <w:bCs/>
          <w:b/>
        </w:rPr>
        <w:t xml:space="preserve">Thesis Proposal</w:t>
      </w:r>
      <w:r>
        <w:t xml:space="preserve"> </w:t>
      </w:r>
      <w:r>
        <w:t xml:space="preserve">underscores that the Web Designer is no longer a support role but a strategic asset. By anchoring research within Jakarta's unique cultural, technological, and economic context—addressing gaps in localization practices, skill development pipelines, and cross-cultural user experience—the proposed study will deliver actionable knowledge directly applicable to Indonesia's most dynamic digital marketplace. This work will empower Web Designers to move beyond template-based solutions toward creating purpose-built digital experiences that resonate with Jakarta's 10+ million urban users while contributing to Indonesia's national ambition of becoming a $500 billion digital economy by 2030. The outcome is not merely academic; it represents a vital step toward sustainable digital transformation for Indonesia Jakarta.</w:t>
      </w:r>
    </w:p>
    <w:bookmarkEnd w:id="28"/>
    <w:bookmarkStart w:id="29" w:name="references-selected"/>
    <w:p>
      <w:pPr>
        <w:pStyle w:val="Heading2"/>
      </w:pPr>
      <w:r>
        <w:t xml:space="preserve">References (Selected)</w:t>
      </w:r>
    </w:p>
    <w:p>
      <w:pPr>
        <w:numPr>
          <w:ilvl w:val="0"/>
          <w:numId w:val="1006"/>
        </w:numPr>
        <w:pStyle w:val="Compact"/>
      </w:pPr>
      <w:r>
        <w:t xml:space="preserve">Dwi, A., &amp; Suryani, R. (2021). *Mobile UX Trends in Southeast Asia*. Journal of Southeast Asian Digital Studies, 7(4), 112-130.</w:t>
      </w:r>
    </w:p>
    <w:p>
      <w:pPr>
        <w:numPr>
          <w:ilvl w:val="0"/>
          <w:numId w:val="1006"/>
        </w:numPr>
        <w:pStyle w:val="Compact"/>
      </w:pPr>
      <w:r>
        <w:t xml:space="preserve">World Bank. (2023). *Indonesia Digital Economy Report: Jakarta's Growth Trajectory*.</w:t>
      </w:r>
    </w:p>
    <w:p>
      <w:pPr>
        <w:numPr>
          <w:ilvl w:val="0"/>
          <w:numId w:val="1006"/>
        </w:numPr>
        <w:pStyle w:val="Compact"/>
      </w:pPr>
      <w:r>
        <w:t xml:space="preserve">Nielsen Norman Group. (2022). *Designing for Southeast Asia: Cultural Considerations*. NNGroup Report.</w:t>
      </w:r>
    </w:p>
    <w:p>
      <w:pPr>
        <w:numPr>
          <w:ilvl w:val="0"/>
          <w:numId w:val="1006"/>
        </w:numPr>
        <w:pStyle w:val="Compact"/>
      </w:pPr>
      <w:r>
        <w:t xml:space="preserve">Ministry of Communication and Informatics, Republic of Indonesia. (2023). *National Digital Strategy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 in Digital Transformation within Indonesia Jakarta</dc:title>
  <dc:creator/>
  <dc:language>en</dc:language>
  <cp:keywords/>
  <dcterms:created xsi:type="dcterms:W3CDTF">2026-07-17T21:18:53Z</dcterms:created>
  <dcterms:modified xsi:type="dcterms:W3CDTF">2026-07-17T21:18:53Z</dcterms:modified>
</cp:coreProperties>
</file>

<file path=docProps/custom.xml><?xml version="1.0" encoding="utf-8"?>
<Properties xmlns="http://schemas.openxmlformats.org/officeDocument/2006/custom-properties" xmlns:vt="http://schemas.openxmlformats.org/officeDocument/2006/docPropsVTypes"/>
</file>