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Cultural</w:t>
      </w:r>
      <w:r>
        <w:t xml:space="preserve"> </w:t>
      </w:r>
      <w:r>
        <w:t xml:space="preserve">and</w:t>
      </w:r>
      <w:r>
        <w:t xml:space="preserve"> </w:t>
      </w:r>
      <w:r>
        <w:t xml:space="preserve">Technical</w:t>
      </w:r>
      <w:r>
        <w:t xml:space="preserve"> </w:t>
      </w:r>
      <w:r>
        <w:t xml:space="preserve">Landscapes</w:t>
      </w:r>
      <w:r>
        <w:t xml:space="preserve"> </w:t>
      </w:r>
      <w:r>
        <w:t xml:space="preserve">for</w:t>
      </w:r>
      <w:r>
        <w:t xml:space="preserve"> </w:t>
      </w:r>
      <w:r>
        <w:t xml:space="preserve">Web</w:t>
      </w:r>
      <w:r>
        <w:t xml:space="preserve"> </w:t>
      </w:r>
      <w:r>
        <w:t xml:space="preserve">Designers</w:t>
      </w:r>
      <w:r>
        <w:t xml:space="preserve"> </w:t>
      </w:r>
      <w:r>
        <w:t xml:space="preserve">in</w:t>
      </w:r>
      <w:r>
        <w:t xml:space="preserve"> </w:t>
      </w:r>
      <w:r>
        <w:t xml:space="preserve">Tehran,</w:t>
      </w:r>
      <w:r>
        <w:t xml:space="preserve"> </w:t>
      </w:r>
      <w:r>
        <w:t xml:space="preserve">Iran</w:t>
      </w:r>
    </w:p>
    <w:bookmarkStart w:id="28" w:name="Xe84a84db929a9b3a6ab8140dd5a0846123cd179"/>
    <w:p>
      <w:pPr>
        <w:pStyle w:val="Heading1"/>
      </w:pPr>
      <w:r>
        <w:t xml:space="preserve">Thesis Proposal: Advancing Professional Competencies of Web Designers in Tehran, Iran's Digital Ecosystem</w:t>
      </w:r>
    </w:p>
    <w:bookmarkStart w:id="20" w:name="introduction"/>
    <w:p>
      <w:pPr>
        <w:pStyle w:val="Heading2"/>
      </w:pPr>
      <w:r>
        <w:t xml:space="preserve">Introduction</w:t>
      </w:r>
    </w:p>
    <w:p>
      <w:pPr>
        <w:pStyle w:val="FirstParagraph"/>
      </w:pPr>
      <w:r>
        <w:t xml:space="preserve">In the rapidly evolving digital landscape of modern Iran, the city of Tehran stands as the nation's undisputed hub for technological innovation and online commerce. With over 70 million internet users and a burgeoning e-commerce sector valued at $8 billion annually, Tehran has become a critical market where professional</w:t>
      </w:r>
      <w:r>
        <w:t xml:space="preserve"> </w:t>
      </w:r>
      <w:r>
        <w:rPr>
          <w:bCs/>
          <w:b/>
        </w:rPr>
        <w:t xml:space="preserve">Web Designer</w:t>
      </w:r>
      <w:r>
        <w:t xml:space="preserve"> </w:t>
      </w:r>
      <w:r>
        <w:t xml:space="preserve">roles are not merely supportive but foundational to business success. Despite this growth, Iranian Web Designers face unique challenges rooted in cultural context, regulatory constraints, and technological accessibility—factors often overlooked in global design discourse. This thesis proposal addresses the urgent need for localized research into how</w:t>
      </w:r>
      <w:r>
        <w:t xml:space="preserve"> </w:t>
      </w:r>
      <w:r>
        <w:rPr>
          <w:bCs/>
          <w:b/>
        </w:rPr>
        <w:t xml:space="preserve">Web Designer</w:t>
      </w:r>
      <w:r>
        <w:t xml:space="preserve"> </w:t>
      </w:r>
      <w:r>
        <w:t xml:space="preserve">professionals in</w:t>
      </w:r>
      <w:r>
        <w:t xml:space="preserve"> </w:t>
      </w:r>
      <w:r>
        <w:rPr>
          <w:bCs/>
          <w:b/>
        </w:rPr>
        <w:t xml:space="preserve">Iran Tehran</w:t>
      </w:r>
      <w:r>
        <w:t xml:space="preserve"> </w:t>
      </w:r>
      <w:r>
        <w:t xml:space="preserve">navigate these complexities to deliver effective digital experiences. The research aims to develop a culturally attuned framework that empowers designers to create websites aligned with Iranian user expectations, legal requirements, and market dynamics.</w:t>
      </w:r>
    </w:p>
    <w:bookmarkEnd w:id="20"/>
    <w:bookmarkStart w:id="21" w:name="literature-review-and-gap-analysis"/>
    <w:p>
      <w:pPr>
        <w:pStyle w:val="Heading2"/>
      </w:pPr>
      <w:r>
        <w:t xml:space="preserve">Literature Review and Gap Analysis</w:t>
      </w:r>
    </w:p>
    <w:p>
      <w:pPr>
        <w:pStyle w:val="FirstParagraph"/>
      </w:pPr>
      <w:r>
        <w:t xml:space="preserve">Existing literature on web design predominantly focuses on Western or Southeast Asian contexts (e.g., Nielsen Norman Group studies), neglecting the socio-technical nuances of the Middle East. While a few studies examine Iran's digital economy (e.g., Mirzaei &amp; Karim, 2021), they lack depth in professional design practices. Current gaps include:</w:t>
      </w:r>
    </w:p>
    <w:p>
      <w:pPr>
        <w:numPr>
          <w:ilvl w:val="0"/>
          <w:numId w:val="1001"/>
        </w:numPr>
        <w:pStyle w:val="Compact"/>
      </w:pPr>
      <w:r>
        <w:rPr>
          <w:bCs/>
          <w:b/>
        </w:rPr>
        <w:t xml:space="preserve">Cultural Specificity</w:t>
      </w:r>
      <w:r>
        <w:t xml:space="preserve">: Research fails to address how Iranian cultural values (e.g., modesty in visual content, hierarchical communication styles) must shape UI/UX decisions.</w:t>
      </w:r>
    </w:p>
    <w:p>
      <w:pPr>
        <w:numPr>
          <w:ilvl w:val="0"/>
          <w:numId w:val="1001"/>
        </w:numPr>
        <w:pStyle w:val="Compact"/>
      </w:pPr>
      <w:r>
        <w:rPr>
          <w:bCs/>
          <w:b/>
        </w:rPr>
        <w:t xml:space="preserve">Regulatory Constraints</w:t>
      </w:r>
      <w:r>
        <w:t xml:space="preserve">: Limited analysis exists on how Iran's cyber laws (e.g., the 2021 Cybercrime Law) impact design choices like data visualization or multimedia usage.</w:t>
      </w:r>
    </w:p>
    <w:p>
      <w:pPr>
        <w:numPr>
          <w:ilvl w:val="0"/>
          <w:numId w:val="1001"/>
        </w:numPr>
        <w:pStyle w:val="Compact"/>
      </w:pPr>
      <w:r>
        <w:rPr>
          <w:bCs/>
          <w:b/>
        </w:rPr>
        <w:t xml:space="preserve">Resource Accessibility</w:t>
      </w:r>
      <w:r>
        <w:t xml:space="preserve">: Studies overlook barriers to global design tools due to sanctions, pushing Tehran-based designers toward localized alternatives (e.g., Persian-language CMS platforms).</w:t>
      </w:r>
    </w:p>
    <w:p>
      <w:pPr>
        <w:pStyle w:val="FirstParagraph"/>
      </w:pPr>
      <w:r>
        <w:t xml:space="preserve">This proposal directly fills these gaps by centering the Tehran context. It acknowledges that a Web Designer in Iran Tehran operates within a distinct ecosystem where international best practices must be adapted—not adopted wholesale—to resonate with local users and comply with national frameworks.</w:t>
      </w:r>
    </w:p>
    <w:bookmarkEnd w:id="21"/>
    <w:bookmarkStart w:id="22" w:name="research-objectives-and-questions"/>
    <w:p>
      <w:pPr>
        <w:pStyle w:val="Heading2"/>
      </w:pPr>
      <w:r>
        <w:t xml:space="preserve">Research Objectives and Questions</w:t>
      </w:r>
    </w:p>
    <w:p>
      <w:pPr>
        <w:pStyle w:val="FirstParagraph"/>
      </w:pPr>
      <w:r>
        <w:t xml:space="preserve">This study seeks to answer three core questions:</w:t>
      </w:r>
    </w:p>
    <w:p>
      <w:pPr>
        <w:numPr>
          <w:ilvl w:val="0"/>
          <w:numId w:val="1002"/>
        </w:numPr>
        <w:pStyle w:val="Compact"/>
      </w:pPr>
      <w:r>
        <w:rPr>
          <w:iCs/>
          <w:i/>
        </w:rPr>
        <w:t xml:space="preserve">How do Web Designers in Tehran integrate Iranian cultural norms into website aesthetics and user journeys without compromising global usability standards?</w:t>
      </w:r>
    </w:p>
    <w:p>
      <w:pPr>
        <w:numPr>
          <w:ilvl w:val="0"/>
          <w:numId w:val="1002"/>
        </w:numPr>
        <w:pStyle w:val="Compact"/>
      </w:pPr>
      <w:r>
        <w:rPr>
          <w:iCs/>
          <w:i/>
        </w:rPr>
        <w:t xml:space="preserve">To what extent do regulatory policies influence the technical implementation of websites (e.g., content filters, data localization) for Tehran-based Web Designers?</w:t>
      </w:r>
    </w:p>
    <w:p>
      <w:pPr>
        <w:numPr>
          <w:ilvl w:val="0"/>
          <w:numId w:val="1002"/>
        </w:numPr>
        <w:pStyle w:val="Compact"/>
      </w:pPr>
      <w:r>
        <w:rPr>
          <w:iCs/>
          <w:i/>
        </w:rPr>
        <w:t xml:space="preserve">What localized resource gaps exist in design education and tool accessibility for Iranian Web Designers, and how can these be addressed?</w:t>
      </w:r>
    </w:p>
    <w:bookmarkEnd w:id="22"/>
    <w:bookmarkStart w:id="23" w:name="methodology"/>
    <w:p>
      <w:pPr>
        <w:pStyle w:val="Heading2"/>
      </w:pPr>
      <w:r>
        <w:t xml:space="preserve">Methodology</w:t>
      </w:r>
    </w:p>
    <w:p>
      <w:pPr>
        <w:pStyle w:val="FirstParagraph"/>
      </w:pPr>
      <w:r>
        <w:t xml:space="preserve">A mixed-methods approach will be employed over 18 months: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Sample</w:t>
            </w:r>
          </w:p>
        </w:tc>
        <w:tc>
          <w:tcPr/>
          <w:p>
            <w:pPr>
              <w:pStyle w:val="Compact"/>
              <w:jc w:val="left"/>
            </w:pPr>
            <w:r>
              <w:t xml:space="preserve">Tehran Focus</w:t>
            </w:r>
          </w:p>
        </w:tc>
      </w:tr>
      <w:tr>
        <w:tc>
          <w:tcPr/>
          <w:p>
            <w:pPr>
              <w:pStyle w:val="Compact"/>
              <w:jc w:val="left"/>
            </w:pPr>
            <w:r>
              <w:t xml:space="preserve">1. Qualitative Analysis</w:t>
            </w:r>
          </w:p>
        </w:tc>
        <w:tc>
          <w:tcPr/>
          <w:p>
            <w:pPr>
              <w:pStyle w:val="Compact"/>
              <w:jc w:val="left"/>
            </w:pPr>
            <w:r>
              <w:t xml:space="preserve">Semi-structured interviews &amp; focus groups</w:t>
            </w:r>
          </w:p>
        </w:tc>
        <w:tc>
          <w:tcPr/>
          <w:p>
            <w:pPr>
              <w:pStyle w:val="Compact"/>
              <w:jc w:val="left"/>
            </w:pPr>
            <w:r>
              <w:t xml:space="preserve">30 Web Designers across Tehran (20 mid-career, 10 senior)</w:t>
            </w:r>
          </w:p>
        </w:tc>
        <w:tc>
          <w:tcPr/>
          <w:p>
            <w:pPr>
              <w:pStyle w:val="Compact"/>
              <w:jc w:val="left"/>
            </w:pPr>
            <w:r>
              <w:t xml:space="preserve">Conducted in Tehran offices/cafés; sessions in Persian with English translation for analysis</w:t>
            </w:r>
          </w:p>
        </w:tc>
      </w:tr>
      <w:tr>
        <w:tc>
          <w:tcPr/>
          <w:p>
            <w:pPr>
              <w:pStyle w:val="Compact"/>
              <w:jc w:val="left"/>
            </w:pPr>
            <w:r>
              <w:t xml:space="preserve">2. Quantitative Assessment</w:t>
            </w:r>
          </w:p>
        </w:tc>
        <w:tc>
          <w:tcPr/>
          <w:p>
            <w:pPr>
              <w:pStyle w:val="Compact"/>
              <w:jc w:val="left"/>
            </w:pPr>
            <w:r>
              <w:t xml:space="preserve">Survey of 150 Iranian Web Designers (Tehran-based)</w:t>
            </w:r>
          </w:p>
        </w:tc>
        <w:tc>
          <w:tcPr/>
          <w:p>
            <w:pPr>
              <w:pStyle w:val="Compact"/>
              <w:jc w:val="left"/>
            </w:pPr>
            <w:r>
              <w:t xml:space="preserve">Stratified by agency size, sector (e.g., e-commerce, government services), and experience</w:t>
            </w:r>
          </w:p>
        </w:tc>
        <w:tc>
          <w:tcPr/>
          <w:p>
            <w:pPr>
              <w:pStyle w:val="Compact"/>
              <w:jc w:val="left"/>
            </w:pPr>
            <w:r>
              <w:t xml:space="preserve">Tehran-specific metrics: tool usage frequency, regulatory compliance challenges</w:t>
            </w:r>
          </w:p>
        </w:tc>
      </w:tr>
      <w:tr>
        <w:tc>
          <w:tcPr/>
          <w:p>
            <w:pPr>
              <w:pStyle w:val="Compact"/>
              <w:jc w:val="left"/>
            </w:pPr>
            <w:r>
              <w:t xml:space="preserve">3. Case Study Integration</w:t>
            </w:r>
          </w:p>
        </w:tc>
        <w:tc>
          <w:tcPr/>
          <w:p>
            <w:pPr>
              <w:pStyle w:val="Compact"/>
              <w:jc w:val="left"/>
            </w:pPr>
            <w:r>
              <w:t xml:space="preserve">Analysis of 5 successful Tehran-based websites (e.g., Digikala, Snapp)</w:t>
            </w:r>
          </w:p>
        </w:tc>
        <w:tc>
          <w:tcPr/>
          <w:p>
            <w:pPr>
              <w:pStyle w:val="Compact"/>
              <w:jc w:val="left"/>
            </w:pPr>
            <w:r>
              <w:t xml:space="preserve">Sites with high local engagement in Tehran market</w:t>
            </w:r>
          </w:p>
        </w:tc>
        <w:tc>
          <w:tcPr/>
          <w:p>
            <w:pPr>
              <w:pStyle w:val="Compact"/>
              <w:jc w:val="left"/>
            </w:pPr>
            <w:r>
              <w:t xml:space="preserve">Cultural alignment audit: color psychology, navigation patterns, content hierarchy</w:t>
            </w:r>
          </w:p>
        </w:tc>
      </w:tr>
    </w:tbl>
    <w:bookmarkEnd w:id="23"/>
    <w:bookmarkStart w:id="24" w:name="expected-contributions-and-significance"/>
    <w:p>
      <w:pPr>
        <w:pStyle w:val="Heading2"/>
      </w:pPr>
      <w:r>
        <w:t xml:space="preserve">Expected Contributions and Significance</w:t>
      </w:r>
    </w:p>
    <w:p>
      <w:pPr>
        <w:pStyle w:val="FirstParagraph"/>
      </w:pPr>
      <w:r>
        <w:t xml:space="preserve">This research will yield three significant contributions for the field:</w:t>
      </w:r>
    </w:p>
    <w:p>
      <w:pPr>
        <w:numPr>
          <w:ilvl w:val="0"/>
          <w:numId w:val="1003"/>
        </w:numPr>
        <w:pStyle w:val="Compact"/>
      </w:pPr>
      <w:r>
        <w:rPr>
          <w:bCs/>
          <w:b/>
        </w:rPr>
        <w:t xml:space="preserve">Localized Design Framework</w:t>
      </w:r>
      <w:r>
        <w:t xml:space="preserve">: A validated "Tehran Web Design Protocol" with culturally responsive templates (e.g., gender-inclusive imagery guidelines, navigation flows matching Iranian decision-making patterns), directly usable by Tehran-based Web Designers.</w:t>
      </w:r>
    </w:p>
    <w:p>
      <w:pPr>
        <w:numPr>
          <w:ilvl w:val="0"/>
          <w:numId w:val="1003"/>
        </w:numPr>
        <w:pStyle w:val="Compact"/>
      </w:pPr>
      <w:r>
        <w:rPr>
          <w:bCs/>
          <w:b/>
        </w:rPr>
        <w:t xml:space="preserve">Policy-Design Interface</w:t>
      </w:r>
      <w:r>
        <w:t xml:space="preserve">: A practical guide mapping Iran’s digital regulations to design workflows—enabling Web Designers in Iran Tehran to preempt compliance issues during development.</w:t>
      </w:r>
    </w:p>
    <w:p>
      <w:pPr>
        <w:numPr>
          <w:ilvl w:val="0"/>
          <w:numId w:val="1003"/>
        </w:numPr>
        <w:pStyle w:val="Compact"/>
      </w:pPr>
      <w:r>
        <w:rPr>
          <w:bCs/>
          <w:b/>
        </w:rPr>
        <w:t xml:space="preserve">Resource Mapping Report</w:t>
      </w:r>
      <w:r>
        <w:t xml:space="preserve">: Identification of accessible local tools (e.g., Persian UI kits, sanction-resilient hosting solutions) and recommendations for design education institutions in Tehran to integrate these into curricula.</w:t>
      </w:r>
    </w:p>
    <w:p>
      <w:pPr>
        <w:pStyle w:val="FirstParagraph"/>
      </w:pPr>
      <w:r>
        <w:t xml:space="preserve">The significance extends beyond academia: By optimizing website effectiveness for Iranian audiences, this work can directly boost conversion rates for Tehran’s SMEs (e.g., local artisans using e-commerce platforms), contributing to Iran’s digital GDP. It also positions Tehran as a model for emerging markets facing similar constraints.</w:t>
      </w:r>
    </w:p>
    <w:bookmarkEnd w:id="24"/>
    <w:bookmarkStart w:id="25" w:name="timeline-and-feasibility"/>
    <w:p>
      <w:pPr>
        <w:pStyle w:val="Heading2"/>
      </w:pPr>
      <w:r>
        <w:t xml:space="preserve">Timeline and Feasibility</w:t>
      </w:r>
    </w:p>
    <w:p>
      <w:pPr>
        <w:pStyle w:val="FirstParagraph"/>
      </w:pPr>
      <w:r>
        <w:t xml:space="preserve">Feasibility is ensured through partnerships with key Tehran institutions: the College of Design at Sharif University, the Iranian Web Design Association (IWDA), and Tehran-based tech hubs like</w:t>
      </w:r>
      <w:r>
        <w:t xml:space="preserve"> </w:t>
      </w:r>
      <w:r>
        <w:rPr>
          <w:iCs/>
          <w:i/>
        </w:rPr>
        <w:t xml:space="preserve">Sa’adat</w:t>
      </w:r>
      <w:r>
        <w:t xml:space="preserve">. The 18-month timeline includes:</w:t>
      </w:r>
    </w:p>
    <w:p>
      <w:pPr>
        <w:numPr>
          <w:ilvl w:val="0"/>
          <w:numId w:val="1004"/>
        </w:numPr>
        <w:pStyle w:val="Compact"/>
      </w:pPr>
      <w:r>
        <w:rPr>
          <w:bCs/>
          <w:b/>
        </w:rPr>
        <w:t xml:space="preserve">Months 1–3</w:t>
      </w:r>
      <w:r>
        <w:t xml:space="preserve">: Ethics approval and partner coordination in Tehran.</w:t>
      </w:r>
    </w:p>
    <w:p>
      <w:pPr>
        <w:numPr>
          <w:ilvl w:val="0"/>
          <w:numId w:val="1004"/>
        </w:numPr>
        <w:pStyle w:val="Compact"/>
      </w:pPr>
      <w:r>
        <w:rPr>
          <w:bCs/>
          <w:b/>
        </w:rPr>
        <w:t xml:space="preserve">Months 4–9</w:t>
      </w:r>
      <w:r>
        <w:t xml:space="preserve">: Primary data collection across Tehran neighborhoods (e.g., Valiasr Street tech corridor, Tajrish startup ecosystem).</w:t>
      </w:r>
    </w:p>
    <w:p>
      <w:pPr>
        <w:numPr>
          <w:ilvl w:val="0"/>
          <w:numId w:val="1004"/>
        </w:numPr>
        <w:pStyle w:val="Compact"/>
      </w:pPr>
      <w:r>
        <w:rPr>
          <w:bCs/>
          <w:b/>
        </w:rPr>
        <w:t xml:space="preserve">Months 10–15</w:t>
      </w:r>
      <w:r>
        <w:t xml:space="preserve">: Framework development with input from Tehran Web Designers.</w:t>
      </w:r>
    </w:p>
    <w:p>
      <w:pPr>
        <w:numPr>
          <w:ilvl w:val="0"/>
          <w:numId w:val="1004"/>
        </w:numPr>
        <w:pStyle w:val="Compact"/>
      </w:pPr>
      <w:r>
        <w:rPr>
          <w:bCs/>
          <w:b/>
        </w:rPr>
        <w:t xml:space="preserve">Months 16–18</w:t>
      </w:r>
      <w:r>
        <w:t xml:space="preserve">: Validation workshops in Tehran and thesis finalization.</w:t>
      </w:r>
    </w:p>
    <w:bookmarkEnd w:id="25"/>
    <w:bookmarkStart w:id="27" w:name="conclusion"/>
    <w:p>
      <w:pPr>
        <w:pStyle w:val="Heading2"/>
      </w:pPr>
      <w:r>
        <w:t xml:space="preserve">Conclusion</w:t>
      </w:r>
    </w:p>
    <w:p>
      <w:pPr>
        <w:pStyle w:val="FirstParagraph"/>
      </w:pPr>
      <w:r>
        <w:t xml:space="preserve">The role of a Web Designer in Iran Tehran transcends aesthetics—it is a strategic function requiring cultural fluency, regulatory navigation, and adaptive problem-solving. This thesis proposal responds to the critical need for research grounded in Iran’s digital reality, not imported assumptions. By centering the experiences of Web Designers operating within Tehran's unique ecosystem, this study will deliver actionable insights to elevate professional standards while respecting local context. The outcomes will empower Iranian designers to build websites that are not only functional but also deeply resonant with Tehran’s users—a vital step toward sustainable digital growth in Iran’s capital and beyond.</w:t>
      </w:r>
    </w:p>
    <w:bookmarkStart w:id="26" w:name="word-count-827"/>
    <w:p>
      <w:pPr>
        <w:pStyle w:val="Heading3"/>
      </w:pPr>
      <w:r>
        <w:t xml:space="preserve">Word Count: 827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Cultural and Technical Landscapes for Web Designers in Tehran, Iran</dc:title>
  <dc:creator/>
  <dc:language>en</dc:language>
  <cp:keywords/>
  <dcterms:created xsi:type="dcterms:W3CDTF">2026-07-13T21:37:06Z</dcterms:created>
  <dcterms:modified xsi:type="dcterms:W3CDTF">2026-07-13T21:37:06Z</dcterms:modified>
</cp:coreProperties>
</file>

<file path=docProps/custom.xml><?xml version="1.0" encoding="utf-8"?>
<Properties xmlns="http://schemas.openxmlformats.org/officeDocument/2006/custom-properties" xmlns:vt="http://schemas.openxmlformats.org/officeDocument/2006/docPropsVTypes"/>
</file>