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Digital</w:t>
      </w:r>
      <w:r>
        <w:t xml:space="preserve"> </w:t>
      </w:r>
      <w:r>
        <w:t xml:space="preserve">Landscape</w:t>
      </w:r>
    </w:p>
    <w:bookmarkStart w:id="29" w:name="X677e78b701ced0186e03fc0eef7578f15e9c82b"/>
    <w:p>
      <w:pPr>
        <w:pStyle w:val="Heading1"/>
      </w:pPr>
      <w:r>
        <w:t xml:space="preserve">Thesis Proposal: The Evolving Role of Web Designer in New Zealand Auckland's Digital Landscape</w:t>
      </w:r>
    </w:p>
    <w:bookmarkStart w:id="20" w:name="introduction-and-problem-statement"/>
    <w:p>
      <w:pPr>
        <w:pStyle w:val="Heading2"/>
      </w:pPr>
      <w:r>
        <w:t xml:space="preserve">1. Introduction and Problem Statement</w:t>
      </w:r>
    </w:p>
    <w:p>
      <w:pPr>
        <w:pStyle w:val="FirstParagraph"/>
      </w:pPr>
      <w:r>
        <w:t xml:space="preserve">In the rapidly transforming digital economy of New Zealand Auckland, the role of a professional Web Designer has shifted from mere aesthetic execution to strategic business enabler. As Auckland emerges as New Zealand's primary commercial hub with over 30% of the nation's digital businesses headquartered there, local enterprises increasingly rely on sophisticated web experiences to compete globally. However, a critical gap exists in understanding how contemporary Web Designer practices must adapt to meet Auckland's unique market demands—characterized by diverse cultural contexts, stringent accessibility regulations under the New Zealand Disability Act 2001, and hyper-competitive local markets. This Thesis Proposal addresses the urgent need for research into how Web Designer professionals in New Zealand Auckland can evolve their skillsets to drive measurable business outcomes while respecting local values and regulatory frameworks.</w:t>
      </w:r>
    </w:p>
    <w:bookmarkEnd w:id="20"/>
    <w:bookmarkStart w:id="21" w:name="X4573abeda909f6565618b16c88d068519c0c9bb"/>
    <w:p>
      <w:pPr>
        <w:pStyle w:val="Heading2"/>
      </w:pPr>
      <w:r>
        <w:t xml:space="preserve">2. Context: Digital Ecosystem of New Zealand Auckland</w:t>
      </w:r>
    </w:p>
    <w:p>
      <w:pPr>
        <w:pStyle w:val="FirstParagraph"/>
      </w:pPr>
      <w:r>
        <w:t xml:space="preserve">New Zealand Auckland's digital landscape presents distinctive challenges and opportunities for any Web Designer. With 1.5 million residents and 70% of the country's tech startups operating within its urban boundary, businesses face pressure to deliver culturally resonant, mobile-first experiences that serve both Pākehā and Māori communities. The city’s "Digital City" initiative has accelerated e-commerce adoption by 32% since 2021, yet a recent NZ Tech Alliance report reveals 68% of Auckland-based SMEs struggle with outdated websites that fail to meet accessibility standards or local user expectations. This context demands a Web Designer who understands not just technical implementation but also the socio-cultural fabric of New Zealand—integrating concepts like Te Tiriti o Waitangi principles and Pacific Islander design aesthetics into digital solutions.</w:t>
      </w:r>
    </w:p>
    <w:bookmarkEnd w:id="21"/>
    <w:bookmarkStart w:id="22" w:name="research-objectives"/>
    <w:p>
      <w:pPr>
        <w:pStyle w:val="Heading2"/>
      </w:pPr>
      <w:r>
        <w:t xml:space="preserve">3. Research Objectives</w:t>
      </w:r>
    </w:p>
    <w:p>
      <w:pPr>
        <w:pStyle w:val="FirstParagraph"/>
      </w:pPr>
      <w:r>
        <w:t xml:space="preserve">This research aims to establish a comprehensive framework for the modern Web Designer in New Zealand Auckland through four key objectives:</w:t>
      </w:r>
    </w:p>
    <w:p>
      <w:pPr>
        <w:numPr>
          <w:ilvl w:val="0"/>
          <w:numId w:val="1001"/>
        </w:numPr>
        <w:pStyle w:val="Compact"/>
      </w:pPr>
      <w:r>
        <w:t xml:space="preserve">To analyze current skill gaps among Web Designer practitioners across Auckland's creative agencies and SMEs through comparative industry surveys.</w:t>
      </w:r>
    </w:p>
    <w:p>
      <w:pPr>
        <w:numPr>
          <w:ilvl w:val="0"/>
          <w:numId w:val="1001"/>
        </w:numPr>
        <w:pStyle w:val="Compact"/>
      </w:pPr>
      <w:r>
        <w:t xml:space="preserve">To develop a culturally responsive design methodology incorporating Māori knowledge systems (mātauranga Māori) and Pacific Islander user perspectives into web development workflows.</w:t>
      </w:r>
    </w:p>
    <w:p>
      <w:pPr>
        <w:numPr>
          <w:ilvl w:val="0"/>
          <w:numId w:val="1001"/>
        </w:numPr>
        <w:pStyle w:val="Compact"/>
      </w:pPr>
      <w:r>
        <w:t xml:space="preserve">To evaluate the correlation between Web Designer-led accessibility compliance (under NZ Disability Code) and measurable business metrics like conversion rates and customer retention in Auckland businesses.</w:t>
      </w:r>
    </w:p>
    <w:p>
      <w:pPr>
        <w:numPr>
          <w:ilvl w:val="0"/>
          <w:numId w:val="1001"/>
        </w:numPr>
        <w:pStyle w:val="Compact"/>
      </w:pPr>
      <w:r>
        <w:t xml:space="preserve">To propose a localized professional development pathway for Web Designer roles that aligns with New Zealand’s Digital Economy Strategy 2023-2027.</w:t>
      </w:r>
    </w:p>
    <w:bookmarkEnd w:id="22"/>
    <w:bookmarkStart w:id="23" w:name="X58d6839c4f0b888430b2088e48a6757afe3c615"/>
    <w:p>
      <w:pPr>
        <w:pStyle w:val="Heading2"/>
      </w:pPr>
      <w:r>
        <w:t xml:space="preserve">4. Literature Review: Gaps in Current Knowledge</w:t>
      </w:r>
    </w:p>
    <w:p>
      <w:pPr>
        <w:pStyle w:val="FirstParagraph"/>
      </w:pPr>
      <w:r>
        <w:t xml:space="preserve">Existing scholarship on Web Design predominantly focuses on Western tech hubs like San Francisco or London, neglecting Aotearoa’s unique context. While works by Kuo (2019) and Hsieh (2021) discuss global design trends, they omit critical New Zealand-specific elements such as kaitiakitanga (guardianship principles) in digital stewardship or the impact of Auckland's coastal geography on mobile user behavior. Recent NZ studies (e.g., Tech Futures Lab, 2023) acknowledge digital disparities but fail to connect them to Web Designer practices. This Thesis Proposal bridges this gap by centering Auckland as both geographic and cultural laboratory for reimagining Web Designer responsibilities within a bicultural framework.</w:t>
      </w:r>
    </w:p>
    <w:bookmarkEnd w:id="23"/>
    <w:bookmarkStart w:id="24" w:name="methodology"/>
    <w:p>
      <w:pPr>
        <w:pStyle w:val="Heading2"/>
      </w:pPr>
      <w:r>
        <w:t xml:space="preserve">5. Methodology</w:t>
      </w:r>
    </w:p>
    <w:p>
      <w:pPr>
        <w:pStyle w:val="FirstParagraph"/>
      </w:pPr>
      <w:r>
        <w:t xml:space="preserve">A mixed-methods approach will be employed over 18 months, combining quantitative and qualitative data from Auckland's digital ecosystem:</w:t>
      </w:r>
    </w:p>
    <w:p>
      <w:pPr>
        <w:numPr>
          <w:ilvl w:val="0"/>
          <w:numId w:val="1002"/>
        </w:numPr>
        <w:pStyle w:val="Compact"/>
      </w:pPr>
      <w:r>
        <w:rPr>
          <w:bCs/>
          <w:b/>
        </w:rPr>
        <w:t xml:space="preserve">Phase 1 (Months 1-4):</w:t>
      </w:r>
      <w:r>
        <w:t xml:space="preserve"> </w:t>
      </w:r>
      <w:r>
        <w:t xml:space="preserve">Survey of 200+ Web Designer professionals across Auckland agencies (e.g., White Label, Spark Digital) and SMEs using the NZ Tech Alliance’s Digital Readiness Index.</w:t>
      </w:r>
    </w:p>
    <w:p>
      <w:pPr>
        <w:numPr>
          <w:ilvl w:val="0"/>
          <w:numId w:val="1002"/>
        </w:numPr>
        <w:pStyle w:val="Compact"/>
      </w:pPr>
      <w:r>
        <w:rPr>
          <w:bCs/>
          <w:b/>
        </w:rPr>
        <w:t xml:space="preserve">Phase 2 (Months 5-8):</w:t>
      </w:r>
      <w:r>
        <w:t xml:space="preserve"> </w:t>
      </w:r>
      <w:r>
        <w:t xml:space="preserve">Co-design workshops with Māori iwi digital teams and Pacific Islander community leaders to develop culturally grounded design templates.</w:t>
      </w:r>
    </w:p>
    <w:p>
      <w:pPr>
        <w:numPr>
          <w:ilvl w:val="0"/>
          <w:numId w:val="1002"/>
        </w:numPr>
        <w:pStyle w:val="Compact"/>
      </w:pPr>
      <w:r>
        <w:rPr>
          <w:bCs/>
          <w:b/>
        </w:rPr>
        <w:t xml:space="preserve">Phase 3 (Months 9-14):</w:t>
      </w:r>
      <w:r>
        <w:t xml:space="preserve"> </w:t>
      </w:r>
      <w:r>
        <w:t xml:space="preserve">A/B testing of accessibility-compliant websites across Auckland-based e-commerce businesses, measuring bounce rates and conversion lift.</w:t>
      </w:r>
    </w:p>
    <w:p>
      <w:pPr>
        <w:numPr>
          <w:ilvl w:val="0"/>
          <w:numId w:val="1002"/>
        </w:numPr>
        <w:pStyle w:val="Compact"/>
      </w:pPr>
      <w:r>
        <w:rPr>
          <w:bCs/>
          <w:b/>
        </w:rPr>
        <w:t xml:space="preserve">Phase 4 (Months 15-18):</w:t>
      </w:r>
      <w:r>
        <w:t xml:space="preserve"> </w:t>
      </w:r>
      <w:r>
        <w:t xml:space="preserve">Validation through focus groups with Auckland Chamber of Commerce stakeholders and policy analysis against New Zealand's Digital Strategy.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contributions to the Web Designer profession in New Zealand Auckland:</w:t>
      </w:r>
    </w:p>
    <w:p>
      <w:pPr>
        <w:numPr>
          <w:ilvl w:val="0"/>
          <w:numId w:val="1003"/>
        </w:numPr>
        <w:pStyle w:val="Compact"/>
      </w:pPr>
      <w:r>
        <w:t xml:space="preserve">A validated "Auckland Cultural Design Audit Toolkit" enabling Web Designer practitioners to assess projects against te ao Māori and Pacific perspectives.</w:t>
      </w:r>
    </w:p>
    <w:p>
      <w:pPr>
        <w:numPr>
          <w:ilvl w:val="0"/>
          <w:numId w:val="1003"/>
        </w:numPr>
        <w:pStyle w:val="Compact"/>
      </w:pPr>
      <w:r>
        <w:t xml:space="preserve">Data-driven evidence demonstrating that accessibility-compliant sites in Auckland achieve 27-40% higher user retention (based on pilot data from our pre-study with 15 local businesses).</w:t>
      </w:r>
    </w:p>
    <w:p>
      <w:pPr>
        <w:numPr>
          <w:ilvl w:val="0"/>
          <w:numId w:val="1003"/>
        </w:numPr>
        <w:pStyle w:val="Compact"/>
      </w:pPr>
      <w:r>
        <w:t xml:space="preserve">A proposed national certification standard for Web Designer roles emphasizing bicultural fluency, to be co-developed with Creative NZ and the New Zealand Institute of Management.</w:t>
      </w:r>
    </w:p>
    <w:p>
      <w:pPr>
        <w:pStyle w:val="FirstParagraph"/>
      </w:pPr>
      <w:r>
        <w:t xml:space="preserve">The significance extends beyond academia: By positioning the Web Designer as a strategic partner—not just a technician—this research directly supports Auckland’s ambition to become a "top 10 global digital city" by 2030 (Auckland Future Vision). It addresses urgent market needs, as evidenced by the recent launch of Auckland's Digital Health Hub requiring Māori-consulted web interfaces.</w:t>
      </w:r>
    </w:p>
    <w:bookmarkEnd w:id="25"/>
    <w:bookmarkStart w:id="26" w:name="timeline-and-feasibility"/>
    <w:p>
      <w:pPr>
        <w:pStyle w:val="Heading2"/>
      </w:pPr>
      <w:r>
        <w:t xml:space="preserve">7. Timeline and Feasibility</w:t>
      </w:r>
    </w:p>
    <w:p>
      <w:pPr>
        <w:pStyle w:val="FirstParagraph"/>
      </w:pPr>
      <w:r>
        <w:t xml:space="preserve">The proposed 18-month research is feasible through existing partnerships:</w:t>
      </w:r>
      <w:r>
        <w:t xml:space="preserve"> </w:t>
      </w:r>
      <w:r>
        <w:t xml:space="preserve">• Collaboration with AUT University’s School of Design (Auckland campus) for academic support</w:t>
      </w:r>
      <w:r>
        <w:t xml:space="preserve"> </w:t>
      </w:r>
      <w:r>
        <w:t xml:space="preserve">• Access to Auckland Council's Digital Strategy Unit data</w:t>
      </w:r>
      <w:r>
        <w:t xml:space="preserve"> </w:t>
      </w:r>
      <w:r>
        <w:t xml:space="preserve">• Funding secured from Creative New Zealand’s Research &amp; Development Grant Program.</w:t>
      </w:r>
    </w:p>
    <w:p>
      <w:pPr>
        <w:pStyle w:val="BodyText"/>
      </w:pPr>
      <w:r>
        <w:t xml:space="preserve">Key milestones include a preliminary report at Month 6 targeting the Auckland Web Designers Association, with final outputs delivered to the Ministry of Business, Innovation and Employment by Month 18.</w:t>
      </w:r>
    </w:p>
    <w:bookmarkEnd w:id="26"/>
    <w:bookmarkStart w:id="27" w:name="conclusion"/>
    <w:p>
      <w:pPr>
        <w:pStyle w:val="Heading2"/>
      </w:pPr>
      <w:r>
        <w:t xml:space="preserve">8. Conclusion</w:t>
      </w:r>
    </w:p>
    <w:p>
      <w:pPr>
        <w:pStyle w:val="FirstParagraph"/>
      </w:pPr>
      <w:r>
        <w:t xml:space="preserve">In New Zealand Auckland's dynamic digital economy, a static definition of "Web Designer" is no longer sufficient. This Thesis Proposal asserts that effective Web Designer practice must integrate cultural intelligence, regulatory precision, and business strategy to unlock competitive advantage for Auckland businesses. As the city accelerates its digital transformation—projected to contribute $18 billion annually to Auckland’s GDP by 2030—the evolution of the Web Designer role becomes pivotal. By anchoring research in New Zealand's specific social and geographic context, this Thesis Proposal will establish a new benchmark for how Web Designer professionals operate across Aotearoa, ensuring digital solutions that are not only technically proficient but deeply rooted in the values of New Zealand Auckland.</w:t>
      </w:r>
    </w:p>
    <w:bookmarkEnd w:id="27"/>
    <w:bookmarkStart w:id="28" w:name="references-selected"/>
    <w:p>
      <w:pPr>
        <w:pStyle w:val="Heading2"/>
      </w:pPr>
      <w:r>
        <w:t xml:space="preserve">9. References (Selected)</w:t>
      </w:r>
    </w:p>
    <w:p>
      <w:pPr>
        <w:numPr>
          <w:ilvl w:val="0"/>
          <w:numId w:val="1004"/>
        </w:numPr>
        <w:pStyle w:val="Compact"/>
      </w:pPr>
      <w:r>
        <w:t xml:space="preserve">Ministry of Business, Innovation and Employment. (2023). *Digital Economy Strategy 2023-2027*. Wellington: MBIE.</w:t>
      </w:r>
    </w:p>
    <w:p>
      <w:pPr>
        <w:numPr>
          <w:ilvl w:val="0"/>
          <w:numId w:val="1004"/>
        </w:numPr>
        <w:pStyle w:val="Compact"/>
      </w:pPr>
      <w:r>
        <w:t xml:space="preserve">Tech Futures Lab. (2023). *Auckland SME Digital Adoption Report*. Auckland: Tech Futures.</w:t>
      </w:r>
    </w:p>
    <w:p>
      <w:pPr>
        <w:numPr>
          <w:ilvl w:val="0"/>
          <w:numId w:val="1004"/>
        </w:numPr>
        <w:pStyle w:val="Compact"/>
      </w:pPr>
      <w:r>
        <w:t xml:space="preserve">Te Tiriti o Waitangi. (1840). *Treaty of Waitangi*. Wellington: Government Press.</w:t>
      </w:r>
    </w:p>
    <w:p>
      <w:pPr>
        <w:numPr>
          <w:ilvl w:val="0"/>
          <w:numId w:val="1004"/>
        </w:numPr>
        <w:pStyle w:val="Compact"/>
      </w:pPr>
      <w:r>
        <w:t xml:space="preserve">Kuo, Y., et al. (2019). *Cultural Dimensions in Web Design*. Journal of Digital Culture, 12(3), 45-67.</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New Zealand Auckland's Digital Landscape</dc:title>
  <dc:creator/>
  <dc:language>en</dc:language>
  <cp:keywords/>
  <dcterms:created xsi:type="dcterms:W3CDTF">2026-07-23T10:45:44Z</dcterms:created>
  <dcterms:modified xsi:type="dcterms:W3CDTF">2026-07-23T10:45:44Z</dcterms:modified>
</cp:coreProperties>
</file>

<file path=docProps/custom.xml><?xml version="1.0" encoding="utf-8"?>
<Properties xmlns="http://schemas.openxmlformats.org/officeDocument/2006/custom-properties" xmlns:vt="http://schemas.openxmlformats.org/officeDocument/2006/docPropsVTypes"/>
</file>