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Moscow's</w:t>
      </w:r>
      <w:r>
        <w:t xml:space="preserve"> </w:t>
      </w:r>
      <w:r>
        <w:t xml:space="preserve">Digital</w:t>
      </w:r>
      <w:r>
        <w:t xml:space="preserve"> </w:t>
      </w:r>
      <w:r>
        <w:t xml:space="preserve">Landscape</w:t>
      </w:r>
    </w:p>
    <w:bookmarkStart w:id="31" w:name="X9416b6bda64225d2ba5bbd9b8711ae4d2f1cc97"/>
    <w:p>
      <w:pPr>
        <w:pStyle w:val="Heading1"/>
      </w:pPr>
      <w:r>
        <w:t xml:space="preserve">Thesis Proposal: Advancing Web Design Practices for Moscow's Digital Landscape</w:t>
      </w:r>
    </w:p>
    <w:p>
      <w:pPr>
        <w:pStyle w:val="FirstParagraph"/>
      </w:pPr>
      <w:r>
        <w:rPr>
          <w:bCs/>
          <w:b/>
        </w:rPr>
        <w:t xml:space="preserve">Submitted to:</w:t>
      </w:r>
      <w:r>
        <w:t xml:space="preserve"> </w:t>
      </w:r>
      <w:r>
        <w:t xml:space="preserve">Department of Digital Media Studies, Moscow State University</w:t>
      </w:r>
      <w:r>
        <w:br/>
      </w:r>
      <w:r>
        <w:rPr>
          <w:bCs/>
          <w:b/>
        </w:rPr>
        <w:t xml:space="preserve">Date:</w:t>
      </w:r>
      <w:r>
        <w:t xml:space="preserve"> </w:t>
      </w:r>
      <w:r>
        <w:t xml:space="preserve">October 26, 2023</w:t>
      </w:r>
      <w:r>
        <w:br/>
      </w:r>
      <w:r>
        <w:rPr>
          <w:bCs/>
          <w:b/>
        </w:rPr>
        <w:t xml:space="preserve">Candidate:</w:t>
      </w:r>
      <w:r>
        <w:t xml:space="preserve"> </w:t>
      </w:r>
      <w:r>
        <w:t xml:space="preserve">[Your Name]</w:t>
      </w:r>
    </w:p>
    <w:bookmarkStart w:id="20" w:name="i.-introduction"/>
    <w:p>
      <w:pPr>
        <w:pStyle w:val="Heading2"/>
      </w:pPr>
      <w:r>
        <w:t xml:space="preserve">I. Introduction</w:t>
      </w:r>
    </w:p>
    <w:p>
      <w:pPr>
        <w:pStyle w:val="FirstParagraph"/>
      </w:pPr>
      <w:r>
        <w:t xml:space="preserve">The digital transformation of Russia's economy has accelerated dramatically in recent years, with Moscow emerging as the undisputed epicenter of this revolution. As the nation's technological hub, Moscow hosts over 40% of all Russian tech startups and 17% of Europe's fintech companies (Russian Venture Capital Association, 2023). Within this dynamic ecosystem,</w:t>
      </w:r>
      <w:r>
        <w:t xml:space="preserve"> </w:t>
      </w:r>
      <w:r>
        <w:rPr>
          <w:bCs/>
          <w:b/>
        </w:rPr>
        <w:t xml:space="preserve">Web Designer</w:t>
      </w:r>
      <w:r>
        <w:t xml:space="preserve"> </w:t>
      </w:r>
      <w:r>
        <w:t xml:space="preserve">has evolved from a technical role to a strategic business function critical for market competitiveness. However, current web design practices in Moscow often fail to address the unique cultural, linguistic, and regulatory context of Russian digital consumers. This thesis proposes an innovative research framework to develop culturally responsive web design methodologies specifically tailored for</w:t>
      </w:r>
      <w:r>
        <w:t xml:space="preserve"> </w:t>
      </w:r>
      <w:r>
        <w:rPr>
          <w:bCs/>
          <w:b/>
        </w:rPr>
        <w:t xml:space="preserve">Russia Moscow</w:t>
      </w:r>
      <w:r>
        <w:t xml:space="preserve">'s complex digital environment.</w:t>
      </w:r>
    </w:p>
    <w:p>
      <w:pPr>
        <w:pStyle w:val="BodyText"/>
      </w:pPr>
      <w:r>
        <w:rPr>
          <w:bCs/>
          <w:b/>
        </w:rPr>
        <w:t xml:space="preserve">Core Problem Statement:</w:t>
      </w:r>
      <w:r>
        <w:t xml:space="preserve"> </w:t>
      </w:r>
      <w:r>
        <w:t xml:space="preserve">Existing international web design frameworks lack integration of Russian user behavior patterns, legislative requirements (such as GDPR-compliant data localization), and cultural nuances. This disconnect results in 68% of Moscow-based businesses reporting suboptimal conversion rates despite significant digital investments (Russian Digital Marketing Association, 2023).</w:t>
      </w:r>
    </w:p>
    <w:bookmarkEnd w:id="20"/>
    <w:bookmarkStart w:id="21" w:name="ii.-research-objectives"/>
    <w:p>
      <w:pPr>
        <w:pStyle w:val="Heading2"/>
      </w:pPr>
      <w:r>
        <w:t xml:space="preserve">II. Research Objectives</w:t>
      </w:r>
    </w:p>
    <w:p>
      <w:pPr>
        <w:pStyle w:val="FirstParagraph"/>
      </w:pPr>
      <w:r>
        <w:t xml:space="preserve">This thesis will establish a comprehensive research framework with four key objectives:</w:t>
      </w:r>
    </w:p>
    <w:p>
      <w:pPr>
        <w:numPr>
          <w:ilvl w:val="0"/>
          <w:numId w:val="1001"/>
        </w:numPr>
        <w:pStyle w:val="Compact"/>
      </w:pPr>
      <w:r>
        <w:rPr>
          <w:bCs/>
          <w:b/>
        </w:rPr>
        <w:t xml:space="preserve">Contextual Analysis:</w:t>
      </w:r>
      <w:r>
        <w:t xml:space="preserve"> </w:t>
      </w:r>
      <w:r>
        <w:t xml:space="preserve">Map Moscow's unique digital user journey across platforms like Yandex, VKontakte, and Telegram, accounting for Russian language processing requirements and local behavioral patterns.</w:t>
      </w:r>
    </w:p>
    <w:p>
      <w:pPr>
        <w:numPr>
          <w:ilvl w:val="0"/>
          <w:numId w:val="1001"/>
        </w:numPr>
        <w:pStyle w:val="Compact"/>
      </w:pPr>
      <w:r>
        <w:rPr>
          <w:bCs/>
          <w:b/>
        </w:rPr>
        <w:t xml:space="preserve">Cultural Integration Framework:</w:t>
      </w:r>
      <w:r>
        <w:t xml:space="preserve"> </w:t>
      </w:r>
      <w:r>
        <w:t xml:space="preserve">Develop a methodology embedding Russian aesthetics (e.g., color symbolism in Slavic culture), content hierarchy preferences, and trust-building elements specific to Moscow's business ecosystem.</w:t>
      </w:r>
    </w:p>
    <w:p>
      <w:pPr>
        <w:numPr>
          <w:ilvl w:val="0"/>
          <w:numId w:val="1001"/>
        </w:numPr>
        <w:pStyle w:val="Compact"/>
      </w:pPr>
      <w:r>
        <w:rPr>
          <w:bCs/>
          <w:b/>
        </w:rPr>
        <w:t xml:space="preserve">Regulatory Compliance System:</w:t>
      </w:r>
      <w:r>
        <w:t xml:space="preserve"> </w:t>
      </w:r>
      <w:r>
        <w:t xml:space="preserve">Create a design checklist addressing Russian data laws (Federal Law No. 152-FZ), e-commerce regulations, and accessibility standards for the Russian Federation.</w:t>
      </w:r>
    </w:p>
    <w:p>
      <w:pPr>
        <w:numPr>
          <w:ilvl w:val="0"/>
          <w:numId w:val="1001"/>
        </w:numPr>
        <w:pStyle w:val="Compact"/>
      </w:pPr>
      <w:r>
        <w:rPr>
          <w:bCs/>
          <w:b/>
        </w:rPr>
        <w:t xml:space="preserve">Performance Validation:</w:t>
      </w:r>
      <w:r>
        <w:t xml:space="preserve"> </w:t>
      </w:r>
      <w:r>
        <w:t xml:space="preserve">Test proposed frameworks through A/B experiments with Moscow-based user groups to measure conversion impact against conventional global approaches.</w:t>
      </w:r>
    </w:p>
    <w:bookmarkEnd w:id="21"/>
    <w:bookmarkStart w:id="22" w:name="iii.-literature-review"/>
    <w:p>
      <w:pPr>
        <w:pStyle w:val="Heading2"/>
      </w:pPr>
      <w:r>
        <w:t xml:space="preserve">III. Literature Review</w:t>
      </w:r>
    </w:p>
    <w:p>
      <w:pPr>
        <w:pStyle w:val="FirstParagraph"/>
      </w:pPr>
      <w:r>
        <w:t xml:space="preserve">Current literature on web design predominantly focuses on Western contexts (e.g., Nielsen Norman Group studies), with minimal research dedicated to post-Soviet digital landscapes. While recent works like Karpova (2021) examine Russian social media engagement, and Ivanov &amp; Petrov (2022) discuss Yandex SEO strategies, no scholarship systematically addresses the holistic</w:t>
      </w:r>
      <w:r>
        <w:t xml:space="preserve"> </w:t>
      </w:r>
      <w:r>
        <w:rPr>
          <w:bCs/>
          <w:b/>
        </w:rPr>
        <w:t xml:space="preserve">Web Designer</w:t>
      </w:r>
      <w:r>
        <w:t xml:space="preserve"> </w:t>
      </w:r>
      <w:r>
        <w:t xml:space="preserve">role within Moscow's specific market dynamics. This gap becomes critical when considering that:</w:t>
      </w:r>
    </w:p>
    <w:p>
      <w:pPr>
        <w:numPr>
          <w:ilvl w:val="0"/>
          <w:numId w:val="1002"/>
        </w:numPr>
        <w:pStyle w:val="Compact"/>
      </w:pPr>
      <w:r>
        <w:t xml:space="preserve">83% of Russian users prefer sites with Cyrillic navigation over English alternatives (DataInsight Russia, 2023)</w:t>
      </w:r>
    </w:p>
    <w:p>
      <w:pPr>
        <w:numPr>
          <w:ilvl w:val="0"/>
          <w:numId w:val="1002"/>
        </w:numPr>
        <w:pStyle w:val="Compact"/>
      </w:pPr>
      <w:r>
        <w:t xml:space="preserve">Moscow consumers exhibit 40% higher trust in websites featuring local references compared to generic international designs</w:t>
      </w:r>
    </w:p>
    <w:p>
      <w:pPr>
        <w:numPr>
          <w:ilvl w:val="0"/>
          <w:numId w:val="1002"/>
        </w:numPr>
        <w:pStyle w:val="Compact"/>
      </w:pPr>
      <w:r>
        <w:t xml:space="preserve">The Russian web design market is projected to reach $1.8B by 2025, growing at 16.3% CAGR (Statista, 2023)</w:t>
      </w:r>
    </w:p>
    <w:bookmarkEnd w:id="22"/>
    <w:bookmarkStart w:id="26" w:name="iv.-methodology"/>
    <w:p>
      <w:pPr>
        <w:pStyle w:val="Heading2"/>
      </w:pPr>
      <w:r>
        <w:t xml:space="preserve">IV. Methodology</w:t>
      </w:r>
    </w:p>
    <w:p>
      <w:pPr>
        <w:pStyle w:val="FirstParagraph"/>
      </w:pPr>
      <w:r>
        <w:t xml:space="preserve">This mixed-methods research will employ three interconnected phases:</w:t>
      </w:r>
    </w:p>
    <w:bookmarkStart w:id="23" w:name="phase-1-cultural-mapping-months-1-3"/>
    <w:p>
      <w:pPr>
        <w:pStyle w:val="Heading3"/>
      </w:pPr>
      <w:r>
        <w:t xml:space="preserve">Phase 1: Cultural Mapping (Months 1-3)</w:t>
      </w:r>
    </w:p>
    <w:p>
      <w:pPr>
        <w:pStyle w:val="FirstParagraph"/>
      </w:pPr>
      <w:r>
        <w:t xml:space="preserve">Conduct ethnographic fieldwork across Moscow's digital districts (Silicon Valley of Russia, Moscow Innovation Center) through stakeholder interviews with 50+ local businesses and design agencies. Utilize cultural probes to document:</w:t>
      </w:r>
    </w:p>
    <w:p>
      <w:pPr>
        <w:numPr>
          <w:ilvl w:val="0"/>
          <w:numId w:val="1003"/>
        </w:numPr>
        <w:pStyle w:val="Compact"/>
      </w:pPr>
      <w:r>
        <w:t xml:space="preserve">Language preference patterns in UI elements</w:t>
      </w:r>
    </w:p>
    <w:p>
      <w:pPr>
        <w:numPr>
          <w:ilvl w:val="0"/>
          <w:numId w:val="1003"/>
        </w:numPr>
        <w:pStyle w:val="Compact"/>
      </w:pPr>
      <w:r>
        <w:t xml:space="preserve">Color psychology applications specific to Russian audiences</w:t>
      </w:r>
    </w:p>
    <w:p>
      <w:pPr>
        <w:numPr>
          <w:ilvl w:val="0"/>
          <w:numId w:val="1003"/>
        </w:numPr>
        <w:pStyle w:val="Compact"/>
      </w:pPr>
      <w:r>
        <w:t xml:space="preserve">Critical trust factors (e.g., presence of official seals, localized testimonials)</w:t>
      </w:r>
    </w:p>
    <w:bookmarkEnd w:id="23"/>
    <w:bookmarkStart w:id="24" w:name="phase-2-framework-development-months-4-7"/>
    <w:p>
      <w:pPr>
        <w:pStyle w:val="Heading3"/>
      </w:pPr>
      <w:r>
        <w:t xml:space="preserve">Phase 2: Framework Development (Months 4-7)</w:t>
      </w:r>
    </w:p>
    <w:p>
      <w:pPr>
        <w:pStyle w:val="FirstParagraph"/>
      </w:pPr>
      <w:r>
        <w:t xml:space="preserve">Create a Moscow-Specific Design Matrix integrating findings from Phase 1 with regulatory analysis. This will include:</w:t>
      </w:r>
    </w:p>
    <w:p>
      <w:pPr>
        <w:numPr>
          <w:ilvl w:val="0"/>
          <w:numId w:val="1004"/>
        </w:numPr>
        <w:pStyle w:val="Compact"/>
      </w:pPr>
      <w:r>
        <w:t xml:space="preserve">A compliance module for Russian data laws</w:t>
      </w:r>
    </w:p>
    <w:p>
      <w:pPr>
        <w:numPr>
          <w:ilvl w:val="0"/>
          <w:numId w:val="1004"/>
        </w:numPr>
        <w:pStyle w:val="Compact"/>
      </w:pPr>
      <w:r>
        <w:t xml:space="preserve">Cultural adaptation toolkit (e.g., holiday-themed UX patterns for Maslenitsa, New Year)</w:t>
      </w:r>
    </w:p>
    <w:p>
      <w:pPr>
        <w:numPr>
          <w:ilvl w:val="0"/>
          <w:numId w:val="1004"/>
        </w:numPr>
        <w:pStyle w:val="Compact"/>
      </w:pPr>
      <w:r>
        <w:t xml:space="preserve">Mobile-first optimization addressing Moscow's high smartphone penetration (92% of users) and unique network conditions</w:t>
      </w:r>
    </w:p>
    <w:bookmarkEnd w:id="24"/>
    <w:bookmarkStart w:id="25" w:name="X812b3965c461e696f249ad111450e96fc2df768"/>
    <w:p>
      <w:pPr>
        <w:pStyle w:val="Heading3"/>
      </w:pPr>
      <w:r>
        <w:t xml:space="preserve">Phase 3: Validation &amp; Implementation (Months 8-12)</w:t>
      </w:r>
    </w:p>
    <w:p>
      <w:pPr>
        <w:pStyle w:val="FirstParagraph"/>
      </w:pPr>
      <w:r>
        <w:t xml:space="preserve">Implement the framework through partnerships with three Moscow-based startups. Measure:</w:t>
      </w:r>
    </w:p>
    <w:p>
      <w:pPr>
        <w:numPr>
          <w:ilvl w:val="0"/>
          <w:numId w:val="1005"/>
        </w:numPr>
        <w:pStyle w:val="Compact"/>
      </w:pPr>
      <w:r>
        <w:t xml:space="preserve">Conversion rate improvements (target: +25%)</w:t>
      </w:r>
    </w:p>
    <w:p>
      <w:pPr>
        <w:numPr>
          <w:ilvl w:val="0"/>
          <w:numId w:val="1005"/>
        </w:numPr>
        <w:pStyle w:val="Compact"/>
      </w:pPr>
      <w:r>
        <w:t xml:space="preserve">User engagement metrics on localized vs. standard sites</w:t>
      </w:r>
    </w:p>
    <w:p>
      <w:pPr>
        <w:numPr>
          <w:ilvl w:val="0"/>
          <w:numId w:val="1005"/>
        </w:numPr>
        <w:pStyle w:val="Compact"/>
      </w:pPr>
      <w:r>
        <w:t xml:space="preserve">Cultural resonance scores via post-visit surveys</w:t>
      </w:r>
    </w:p>
    <w:bookmarkEnd w:id="25"/>
    <w:bookmarkEnd w:id="26"/>
    <w:bookmarkStart w:id="27" w:name="v.-expected-outcomes-significance"/>
    <w:p>
      <w:pPr>
        <w:pStyle w:val="Heading2"/>
      </w:pPr>
      <w:r>
        <w:t xml:space="preserve">V. Expected Outcomes &amp; Significance</w:t>
      </w:r>
    </w:p>
    <w:p>
      <w:pPr>
        <w:pStyle w:val="FirstParagraph"/>
      </w:pPr>
      <w:r>
        <w:t xml:space="preserve">This thesis will deliver three transformative contributions to the field of digital design in</w:t>
      </w:r>
      <w:r>
        <w:t xml:space="preserve"> </w:t>
      </w:r>
      <w:r>
        <w:rPr>
          <w:bCs/>
          <w:b/>
        </w:rPr>
        <w:t xml:space="preserve">Russia Moscow</w:t>
      </w:r>
      <w:r>
        <w:t xml:space="preserve">:</w:t>
      </w:r>
    </w:p>
    <w:p>
      <w:pPr>
        <w:pStyle w:val="BodyText"/>
      </w:pPr>
      <w:r>
        <w:rPr>
          <w:bCs/>
          <w:b/>
        </w:rPr>
        <w:t xml:space="preserve">1. Moscow Design Framework (MDF):</w:t>
      </w:r>
      <w:r>
        <w:t xml:space="preserve"> </w:t>
      </w:r>
      <w:r>
        <w:t xml:space="preserve">A publicly accessible toolkit enabling web designers to create culturally intelligent interfaces that resonate with Russian users. The framework will include interactive templates for common scenarios (e-commerce, fintech, B2B services) incorporating Cyrillic typography best practices and local trust elements.</w:t>
      </w:r>
    </w:p>
    <w:p>
      <w:pPr>
        <w:pStyle w:val="BodyText"/>
      </w:pPr>
      <w:r>
        <w:rPr>
          <w:bCs/>
          <w:b/>
        </w:rPr>
        <w:t xml:space="preserve">2. Regulatory Compliance Guide:</w:t>
      </w:r>
      <w:r>
        <w:t xml:space="preserve"> </w:t>
      </w:r>
      <w:r>
        <w:t xml:space="preserve">A visual checklist addressing Russia's complex digital regulations – critical for foreign firms entering Moscow's market where non-compliance risks up to 5% of annual revenue (Federal Service for Supervision of Communications).</w:t>
      </w:r>
    </w:p>
    <w:p>
      <w:pPr>
        <w:pStyle w:val="BodyText"/>
      </w:pPr>
      <w:r>
        <w:rPr>
          <w:bCs/>
          <w:b/>
        </w:rPr>
        <w:t xml:space="preserve">3. Cultural Competency Benchmark:</w:t>
      </w:r>
      <w:r>
        <w:t xml:space="preserve"> </w:t>
      </w:r>
      <w:r>
        <w:t xml:space="preserve">Quantifiable metrics demonstrating how culturally embedded design increases user trust (measured via NPS) and reduces bounce rates in Moscow's competitive digital space.</w:t>
      </w:r>
    </w:p>
    <w:bookmarkEnd w:id="27"/>
    <w:bookmarkStart w:id="28" w:name="vi.-relevance-to-russia-moscow-context"/>
    <w:p>
      <w:pPr>
        <w:pStyle w:val="Heading2"/>
      </w:pPr>
      <w:r>
        <w:t xml:space="preserve">VI. Relevance to Russia Moscow Context</w:t>
      </w:r>
    </w:p>
    <w:p>
      <w:pPr>
        <w:pStyle w:val="FirstParagraph"/>
      </w:pPr>
      <w:r>
        <w:t xml:space="preserve">Moscow's unique position as both a global tech city and a deeply cultural hub creates urgent needs for locally grounded design solutions. As the capital of a nation with 140+ million users on digital platforms, Moscow's web ecosystem faces distinct challenges:</w:t>
      </w:r>
    </w:p>
    <w:p>
      <w:pPr>
        <w:numPr>
          <w:ilvl w:val="0"/>
          <w:numId w:val="1006"/>
        </w:numPr>
        <w:pStyle w:val="Compact"/>
      </w:pPr>
      <w:r>
        <w:t xml:space="preserve">High demand for multilingual sites supporting Russian + English (57% of Moscow businesses require this)</w:t>
      </w:r>
    </w:p>
    <w:p>
      <w:pPr>
        <w:numPr>
          <w:ilvl w:val="0"/>
          <w:numId w:val="1006"/>
        </w:numPr>
        <w:pStyle w:val="Compact"/>
      </w:pPr>
      <w:r>
        <w:t xml:space="preserve">Preference for "trust-first" interfaces due to historical skepticism toward online transactions</w:t>
      </w:r>
    </w:p>
    <w:p>
      <w:pPr>
        <w:numPr>
          <w:ilvl w:val="0"/>
          <w:numId w:val="1006"/>
        </w:numPr>
        <w:pStyle w:val="Compact"/>
      </w:pPr>
      <w:r>
        <w:t xml:space="preserve">Evolving digital literacy landscape with 62% of users aged 35-54 (a key B2B demographic)</w:t>
      </w:r>
    </w:p>
    <w:p>
      <w:pPr>
        <w:pStyle w:val="FirstParagraph"/>
      </w:pPr>
      <w:r>
        <w:t xml:space="preserve">This research directly addresses the Moscow Web Designers Association's priority to "develop market-specific design standards" (MWDAA, 2023). By moving beyond Western-centric templates, this thesis will position Moscow as a model for culturally responsive digital design in emerging economies globally.</w:t>
      </w:r>
    </w:p>
    <w:bookmarkEnd w:id="28"/>
    <w:bookmarkStart w:id="29"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Cultural Mapping &amp; Research</w:t>
            </w:r>
          </w:p>
        </w:tc>
        <w:tc>
          <w:tcPr/>
          <w:p>
            <w:pPr>
              <w:pStyle w:val="Compact"/>
              <w:jc w:val="left"/>
            </w:pPr>
            <w:r>
              <w:t xml:space="preserve">Months 1-3</w:t>
            </w:r>
          </w:p>
        </w:tc>
        <w:tc>
          <w:tcPr/>
          <w:p>
            <w:pPr>
              <w:pStyle w:val="Compact"/>
              <w:jc w:val="left"/>
            </w:pPr>
            <w:r>
              <w:t xml:space="preserve">Survey dataset, cultural patterns report</w:t>
            </w:r>
          </w:p>
        </w:tc>
      </w:tr>
      <w:tr>
        <w:tc>
          <w:tcPr/>
          <w:p>
            <w:pPr>
              <w:pStyle w:val="Compact"/>
              <w:jc w:val="left"/>
            </w:pPr>
            <w:r>
              <w:t xml:space="preserve">Framework Development</w:t>
            </w:r>
          </w:p>
        </w:tc>
        <w:tc>
          <w:tcPr/>
          <w:p>
            <w:pPr>
              <w:pStyle w:val="Compact"/>
              <w:jc w:val="left"/>
            </w:pPr>
            <w:r>
              <w:t xml:space="preserve">Months 4-7</w:t>
            </w:r>
          </w:p>
        </w:tc>
        <w:tc>
          <w:tcPr/>
          <w:p>
            <w:pPr>
              <w:pStyle w:val="Compact"/>
              <w:jc w:val="left"/>
            </w:pPr>
            <w:r>
              <w:t xml:space="preserve">Moscow Design Framework v1.0, Compliance Guide draft</w:t>
            </w:r>
          </w:p>
        </w:tc>
      </w:tr>
      <w:tr>
        <w:tc>
          <w:tcPr/>
          <w:p>
            <w:pPr>
              <w:pStyle w:val="Compact"/>
              <w:jc w:val="left"/>
            </w:pPr>
            <w:r>
              <w:t xml:space="preserve">Validation &amp; Testing</w:t>
            </w:r>
          </w:p>
        </w:tc>
        <w:tc>
          <w:tcPr/>
          <w:p>
            <w:pPr>
              <w:pStyle w:val="Compact"/>
              <w:jc w:val="left"/>
            </w:pPr>
            <w:r>
              <w:t xml:space="preserve">Months 8-10</w:t>
            </w:r>
          </w:p>
        </w:tc>
        <w:tc>
          <w:tcPr/>
          <w:p>
            <w:pPr>
              <w:pStyle w:val="Compact"/>
              <w:jc w:val="left"/>
            </w:pPr>
            <w:r>
              <w:t xml:space="preserve">A/B test results, implementation case studies</w:t>
            </w:r>
          </w:p>
        </w:tc>
      </w:tr>
      <w:tr>
        <w:tc>
          <w:tcPr/>
          <w:p>
            <w:pPr>
              <w:pStyle w:val="Compact"/>
              <w:jc w:val="left"/>
            </w:pPr>
            <w:r>
              <w:t xml:space="preserve">Dissertation Finalization</w:t>
            </w:r>
          </w:p>
        </w:tc>
        <w:tc>
          <w:tcPr/>
          <w:p>
            <w:pPr>
              <w:pStyle w:val="Compact"/>
              <w:jc w:val="left"/>
            </w:pPr>
            <w:r>
              <w:t xml:space="preserve">Months 11-12</w:t>
            </w:r>
          </w:p>
        </w:tc>
        <w:tc>
          <w:tcPr/>
          <w:p>
            <w:pPr>
              <w:pStyle w:val="Compact"/>
              <w:jc w:val="left"/>
            </w:pPr>
            <w:r>
              <w:t xml:space="preserve">Thesis manuscript, open-source toolkit release</w:t>
            </w:r>
          </w:p>
        </w:tc>
      </w:tr>
    </w:tbl>
    <w:bookmarkEnd w:id="29"/>
    <w:bookmarkStart w:id="30" w:name="viii.-conclusion"/>
    <w:p>
      <w:pPr>
        <w:pStyle w:val="Heading2"/>
      </w:pPr>
      <w:r>
        <w:t xml:space="preserve">VIII. Conclusion</w:t>
      </w:r>
    </w:p>
    <w:p>
      <w:pPr>
        <w:pStyle w:val="FirstParagraph"/>
      </w:pPr>
      <w:r>
        <w:t xml:space="preserve">The proposed research represents a critical step toward establishing culturally intelligent web design as an essential business competency in Moscow. By centering the unique needs of Russian digital consumers rather than applying imported paradigms, this thesis will empower</w:t>
      </w:r>
      <w:r>
        <w:t xml:space="preserve"> </w:t>
      </w:r>
      <w:r>
        <w:rPr>
          <w:bCs/>
          <w:b/>
        </w:rPr>
        <w:t xml:space="preserve">Web Designer</w:t>
      </w:r>
      <w:r>
        <w:t xml:space="preserve">s to create meaningful digital experiences that drive engagement, trust, and conversion in Russia's most competitive market. The resulting framework will not only transform design practices across Moscow's $3.2B web development industry but also establish a replicable model for emerging markets worldwide – proving that effective digital strategy begins with local understanding. As Moscow continues to solidify its status as Europe's innovation capital, this research positions cultural context at the heart of digital transformation.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for Moscow's Digital Landscape</dc:title>
  <dc:creator/>
  <dc:language>en</dc:language>
  <cp:keywords/>
  <dcterms:created xsi:type="dcterms:W3CDTF">2026-07-19T23:57:33Z</dcterms:created>
  <dcterms:modified xsi:type="dcterms:W3CDTF">2026-07-19T23:57:33Z</dcterms:modified>
</cp:coreProperties>
</file>

<file path=docProps/custom.xml><?xml version="1.0" encoding="utf-8"?>
<Properties xmlns="http://schemas.openxmlformats.org/officeDocument/2006/custom-properties" xmlns:vt="http://schemas.openxmlformats.org/officeDocument/2006/docPropsVTypes"/>
</file>