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Competency</w:t>
      </w:r>
      <w:r>
        <w:t xml:space="preserve"> </w:t>
      </w:r>
      <w:r>
        <w:t xml:space="preserve">Frameworks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564af68b705f7880fb0502dcb1ce71fd114f93f"/>
    <w:p>
      <w:pPr>
        <w:pStyle w:val="Heading1"/>
      </w:pPr>
      <w:r>
        <w:t xml:space="preserve">Thesis Proposal: Optimizing Welder Competency Frameworks for Sustainable Infrastructure Development in Indonesia Jakarta</w:t>
      </w:r>
    </w:p>
    <w:bookmarkStart w:id="20" w:name="abstract"/>
    <w:p>
      <w:pPr>
        <w:pStyle w:val="Heading2"/>
      </w:pPr>
      <w:r>
        <w:t xml:space="preserve">Abstract</w:t>
      </w:r>
    </w:p>
    <w:p>
      <w:pPr>
        <w:pStyle w:val="FirstParagraph"/>
      </w:pPr>
      <w:r>
        <w:t xml:space="preserve">This thesis proposal addresses a critical gap in the construction and manufacturing sectors of Indonesia Jakarta, where welder competency directly impacts structural safety, project timelines, and economic sustainability. With Jakarta's rapid urbanization accelerating infrastructure projects—including the Mass Rapid Transit (MRT), new port developments, and flood control systems—there is an urgent need to align welding practices with international standards while accommodating local workforce capabilities. This research will investigate current welder training methodologies, certification processes, and on-site implementation challenges specific to Indonesia Jakarta. The study aims to propose a contextually adaptive competency framework that enhances welder performance, reduces structural failures, and supports Jakarta’s 2030 Sustainable Development Goals (SDGs). Through mixed-methods analysis of 15+ construction sites across Jakarta, this thesis will deliver actionable recommendations for policymakers, industry associations like the Indonesian Welding Society (ISW), and vocational training institutions.</w:t>
      </w:r>
    </w:p>
    <w:bookmarkEnd w:id="20"/>
    <w:bookmarkStart w:id="21" w:name="introduction-the-jakarta-context"/>
    <w:p>
      <w:pPr>
        <w:pStyle w:val="Heading2"/>
      </w:pPr>
      <w:r>
        <w:t xml:space="preserve">Introduction: The Jakarta Context</w:t>
      </w:r>
    </w:p>
    <w:p>
      <w:pPr>
        <w:pStyle w:val="FirstParagraph"/>
      </w:pPr>
      <w:r>
        <w:t xml:space="preserve">Indonesia Jakarta, as Southeast Asia’s most populous metropolitan area with over 10 million residents in the city proper and 30 million in its metro region, faces unprecedented infrastructure demands. Current projects such as the Jakarta MRT Line 3 expansion, Cipinang River revitalization, and Tanjung Priok Port modernization require high-precision welding of structural steel, pipelines, and marine components. However, inconsistent welder competency remains a systemic risk: data from the Indonesian Ministry of Public Works (2023) indicates that 28% of infrastructure defects in Jakarta stem from substandard welding—resulting in costly rework, project delays exceeding 15%, and heightened safety hazards. The problem is compounded by Jakarta’s unique challenges: monsoon-driven construction interruptions, informal labor pools lacking formal certification, and a fragmented training ecosystem where only 32% of welders hold internationally recognized credentials (e.g., AWS or SNI standards). This thesis directly confronts these Jakarta-specific barriers through the lens of "Welder" as both a technical profession and a socioeconomic asset.</w:t>
      </w:r>
    </w:p>
    <w:bookmarkEnd w:id="21"/>
    <w:bookmarkStart w:id="22" w:name="problem-statement"/>
    <w:p>
      <w:pPr>
        <w:pStyle w:val="Heading2"/>
      </w:pPr>
      <w:r>
        <w:t xml:space="preserve">Problem Statement</w:t>
      </w:r>
    </w:p>
    <w:p>
      <w:pPr>
        <w:pStyle w:val="FirstParagraph"/>
      </w:pPr>
      <w:r>
        <w:t xml:space="preserve">While global welding standards (AWS D1.1, ISO 9606) are well-documented, their application in Indonesia Jakarta is hindered by contextual mismatches. Key issues include:</w:t>
      </w:r>
    </w:p>
    <w:p>
      <w:pPr>
        <w:numPr>
          <w:ilvl w:val="0"/>
          <w:numId w:val="1001"/>
        </w:numPr>
        <w:pStyle w:val="Compact"/>
      </w:pPr>
      <w:r>
        <w:rPr>
          <w:bCs/>
          <w:b/>
        </w:rPr>
        <w:t xml:space="preserve">Cultural &amp; Linguistic Gaps:</w:t>
      </w:r>
      <w:r>
        <w:t xml:space="preserve"> </w:t>
      </w:r>
      <w:r>
        <w:t xml:space="preserve">Training materials often neglect Bahasa Indonesia terminology for technical concepts (e.g., "root pass" vs. "sambungan akar"), causing comprehension barriers.</w:t>
      </w:r>
    </w:p>
    <w:p>
      <w:pPr>
        <w:numPr>
          <w:ilvl w:val="0"/>
          <w:numId w:val="1001"/>
        </w:numPr>
        <w:pStyle w:val="Compact"/>
      </w:pPr>
      <w:r>
        <w:rPr>
          <w:bCs/>
          <w:b/>
        </w:rPr>
        <w:t xml:space="preserve">Resource Constraints:</w:t>
      </w:r>
      <w:r>
        <w:t xml:space="preserve"> </w:t>
      </w:r>
      <w:r>
        <w:t xml:space="preserve">Jakarta’s vocational schools lack modern welding simulators due to budget limitations, forcing reliance on hands-on (but unsafe) learning.</w:t>
      </w:r>
    </w:p>
    <w:p>
      <w:pPr>
        <w:numPr>
          <w:ilvl w:val="0"/>
          <w:numId w:val="1001"/>
        </w:numPr>
        <w:pStyle w:val="Compact"/>
      </w:pPr>
      <w:r>
        <w:rPr>
          <w:bCs/>
          <w:b/>
        </w:rPr>
        <w:t xml:space="preserve">Regulatory Fragmentation:</w:t>
      </w:r>
      <w:r>
        <w:t xml:space="preserve"> </w:t>
      </w:r>
      <w:r>
        <w:t xml:space="preserve">Certification bodies (e.g., Indonesian Welding Institute vs. local construction firms) operate with inconsistent criteria, leading to "paper-qualified" welders who lack practical skills.</w:t>
      </w:r>
    </w:p>
    <w:p>
      <w:pPr>
        <w:pStyle w:val="FirstParagraph"/>
      </w:pPr>
      <w:r>
        <w:t xml:space="preserve">This thesis posits that without a Jakarta-tailored welder competency model, the city’s infrastructure resilience—and its capacity to absorb climate shocks (e.g., flooding)—will remain compromised. The consequences extend beyond engineering: poor welding contributes to 12% of Jakarta’s annual construction accidents (BPJS Ketenagakerjaan, 2023).</w:t>
      </w:r>
    </w:p>
    <w:bookmarkEnd w:id="22"/>
    <w:bookmarkStart w:id="23" w:name="X720ae324b2384b92e2278d6197578cc788c93ba"/>
    <w:p>
      <w:pPr>
        <w:pStyle w:val="Heading2"/>
      </w:pPr>
      <w:r>
        <w:t xml:space="preserve">Literature Review: Global Insights &amp; Local Gaps</w:t>
      </w:r>
    </w:p>
    <w:p>
      <w:pPr>
        <w:pStyle w:val="FirstParagraph"/>
      </w:pPr>
      <w:r>
        <w:t xml:space="preserve">Existing studies on welding in emerging economies highlight similar challenges. A World Bank report (2021) noted that Vietnam’s infrastructure projects reduced rework costs by 37% after integrating localized welding training modules. However, Jakarta-specific research is scarce; most studies focus on oil/gas sectors (e.g., PT Pertamina pipelines), not urban construction. Crucially, no framework addresses Jakarta’s dual labor market: formal welders in corporations vs. informal "welder collectives" operating under the radar of safety regulations. This thesis bridges that gap by centering "Indonesia Jakarta" as both a geographic and institutional context, drawing from case studies like the successful 2022 Jakarta-Bali Welder Certification Pilot (funded by JICA), which increased pass rates for SNI welding tests by 41% through Bahasa Indonesia–led workshops.</w:t>
      </w:r>
    </w:p>
    <w:bookmarkEnd w:id="23"/>
    <w:bookmarkStart w:id="24" w:name="research-objectives"/>
    <w:p>
      <w:pPr>
        <w:pStyle w:val="Heading2"/>
      </w:pPr>
      <w:r>
        <w:t xml:space="preserve">Research Objectives</w:t>
      </w:r>
    </w:p>
    <w:p>
      <w:pPr>
        <w:numPr>
          <w:ilvl w:val="0"/>
          <w:numId w:val="1002"/>
        </w:numPr>
        <w:pStyle w:val="Compact"/>
      </w:pPr>
      <w:r>
        <w:t xml:space="preserve">Map the current welder certification landscape across Jakarta’s construction, shipbuilding, and manufacturing sectors.</w:t>
      </w:r>
    </w:p>
    <w:p>
      <w:pPr>
        <w:numPr>
          <w:ilvl w:val="0"/>
          <w:numId w:val="1002"/>
        </w:numPr>
        <w:pStyle w:val="Compact"/>
      </w:pPr>
      <w:r>
        <w:t xml:space="preserve">Evaluate how cultural, linguistic, and infrastructure factors affect welder competency in Jakarta’s urban environment.</w:t>
      </w:r>
    </w:p>
    <w:p>
      <w:pPr>
        <w:numPr>
          <w:ilvl w:val="0"/>
          <w:numId w:val="1002"/>
        </w:numPr>
        <w:pStyle w:val="Compact"/>
      </w:pPr>
      <w:r>
        <w:t xml:space="preserve">Co-design a competency framework with industry stakeholders (e.g., PT Wijaya Karya, local trade unions) that integrates SNI standards with Jakarta-specific operational realities.</w:t>
      </w:r>
    </w:p>
    <w:p>
      <w:pPr>
        <w:numPr>
          <w:ilvl w:val="0"/>
          <w:numId w:val="1002"/>
        </w:numPr>
        <w:pStyle w:val="Compact"/>
      </w:pPr>
      <w:r>
        <w:t xml:space="preserve">Propose a scalable training model for vocational schools and on-site apprenticeships in Indonesia Jakarta.</w:t>
      </w:r>
    </w:p>
    <w:bookmarkEnd w:id="24"/>
    <w:bookmarkStart w:id="25" w:name="methodology"/>
    <w:p>
      <w:pPr>
        <w:pStyle w:val="Heading2"/>
      </w:pPr>
      <w:r>
        <w:t xml:space="preserve">Methodology</w:t>
      </w:r>
    </w:p>
    <w:p>
      <w:pPr>
        <w:pStyle w:val="FirstParagraph"/>
      </w:pPr>
      <w:r>
        <w:t xml:space="preserve">This study employs a sequential mixed-methods approach:</w:t>
      </w:r>
    </w:p>
    <w:p>
      <w:pPr>
        <w:numPr>
          <w:ilvl w:val="0"/>
          <w:numId w:val="1003"/>
        </w:numPr>
        <w:pStyle w:val="Compact"/>
      </w:pPr>
      <w:r>
        <w:rPr>
          <w:bCs/>
          <w:b/>
        </w:rPr>
        <w:t xml:space="preserve">Phase 1 (Quantitative):</w:t>
      </w:r>
      <w:r>
        <w:t xml:space="preserve"> </w:t>
      </w:r>
      <w:r>
        <w:t xml:space="preserve">Survey of 300 welders across 15 Jakarta sites (e.g., Cikarang Industrial Park, Ancol Waterfront) assessing certification status, task frequency, and incident history.</w:t>
      </w:r>
    </w:p>
    <w:p>
      <w:pPr>
        <w:numPr>
          <w:ilvl w:val="0"/>
          <w:numId w:val="1003"/>
        </w:numPr>
        <w:pStyle w:val="Compact"/>
      </w:pPr>
      <w:r>
        <w:rPr>
          <w:bCs/>
          <w:b/>
        </w:rPr>
        <w:t xml:space="preserve">Phase 2 (Qualitative):</w:t>
      </w:r>
      <w:r>
        <w:t xml:space="preserve"> </w:t>
      </w:r>
      <w:r>
        <w:t xml:space="preserve">Focus groups with 45 welders and 10 site managers to identify training gaps. Includes ethnographic observation at welding stations in Cipinang (flood-prone zone) and Tanjung Priok Port.</w:t>
      </w:r>
    </w:p>
    <w:p>
      <w:pPr>
        <w:numPr>
          <w:ilvl w:val="0"/>
          <w:numId w:val="1003"/>
        </w:numPr>
        <w:pStyle w:val="Compact"/>
      </w:pPr>
      <w:r>
        <w:rPr>
          <w:bCs/>
          <w:b/>
        </w:rPr>
        <w:t xml:space="preserve">Phase 3 (Co-Design Workshop):</w:t>
      </w:r>
      <w:r>
        <w:t xml:space="preserve"> </w:t>
      </w:r>
      <w:r>
        <w:t xml:space="preserve">Collaborative development of the competency framework with ISW, Jakarta Governor’s Office for Infrastructure, and vocational institutions (e.g., SMK Negeri 26 Jakarta).</w:t>
      </w:r>
    </w:p>
    <w:p>
      <w:pPr>
        <w:pStyle w:val="FirstParagraph"/>
      </w:pPr>
      <w:r>
        <w:t xml:space="preserve">Data analysis will use SPSS for survey metrics and NVivo for thematic coding from interviews. The framework will prioritize "welder" safety outcomes (e.g., reduced burn injuries) alongside project efficiency—directly aligning with Jakarta’s Vision 2030: "A Safe, Sustainable City."</w:t>
      </w:r>
    </w:p>
    <w:bookmarkEnd w:id="25"/>
    <w:bookmarkStart w:id="26" w:name="expected-contributions"/>
    <w:p>
      <w:pPr>
        <w:pStyle w:val="Heading2"/>
      </w:pPr>
      <w:r>
        <w:t xml:space="preserve">Expected Contributions</w:t>
      </w:r>
    </w:p>
    <w:p>
      <w:pPr>
        <w:pStyle w:val="FirstParagraph"/>
      </w:pPr>
      <w:r>
        <w:t xml:space="preserve">This thesis will deliver:</w:t>
      </w:r>
    </w:p>
    <w:p>
      <w:pPr>
        <w:numPr>
          <w:ilvl w:val="0"/>
          <w:numId w:val="1004"/>
        </w:numPr>
        <w:pStyle w:val="Compact"/>
      </w:pPr>
      <w:r>
        <w:t xml:space="preserve">A validated competency framework for welders in Indonesia Jakarta, adaptable to other emerging urban centers.</w:t>
      </w:r>
    </w:p>
    <w:p>
      <w:pPr>
        <w:numPr>
          <w:ilvl w:val="0"/>
          <w:numId w:val="1004"/>
        </w:numPr>
        <w:pStyle w:val="Compact"/>
      </w:pPr>
      <w:r>
        <w:t xml:space="preserve">Evidence-based policy briefs for the Ministry of Manpower to revise welding certification regulations.</w:t>
      </w:r>
    </w:p>
    <w:p>
      <w:pPr>
        <w:numPr>
          <w:ilvl w:val="0"/>
          <w:numId w:val="1004"/>
        </w:numPr>
        <w:pStyle w:val="Compact"/>
      </w:pPr>
      <w:r>
        <w:t xml:space="preserve">Practical training modules (with Bahasa Indonesia/visual aids) deployable in Jakarta’s vocational schools by 2025.</w:t>
      </w:r>
    </w:p>
    <w:p>
      <w:pPr>
        <w:pStyle w:val="FirstParagraph"/>
      </w:pPr>
      <w:r>
        <w:t xml:space="preserve">Beyond academia, the research responds to Jakarta’s immediate needs: a 20% reduction in welding-related project delays would save ~IDR 1.8 trillion annually (Jakarta Development Agency, 2023). By embedding "Welder" as a central pillar of Jakarta’s infrastructure strategy—not merely a technical role but a catalyst for economic inclusion—the thesis advances Indonesia’s national goal of reducing construction sector accidents by 50% by 2030.</w:t>
      </w:r>
    </w:p>
    <w:bookmarkEnd w:id="26"/>
    <w:bookmarkStart w:id="27" w:name="conclusion"/>
    <w:p>
      <w:pPr>
        <w:pStyle w:val="Heading2"/>
      </w:pPr>
      <w:r>
        <w:t xml:space="preserve">Conclusion</w:t>
      </w:r>
    </w:p>
    <w:p>
      <w:pPr>
        <w:pStyle w:val="FirstParagraph"/>
      </w:pPr>
      <w:r>
        <w:t xml:space="preserve">The success of Indonesia Jakarta’s next decade hinges on the reliability of its foundational infrastructure. This Thesis Proposal centers "Welder" as the linchpin in achieving that reliability, recognizing that technical expertise must be contextualized for Jakarta’s unique socio-technical ecosystem. Through rigorous research grounded in the city’s streets and sites, this work will transform welding from a recurring risk into a cornerstone of sustainable urban development. It is not merely about steel joining—it is about securing Jakarta’s future, one weld at a time.</w:t>
      </w:r>
    </w:p>
    <w:bookmarkEnd w:id="27"/>
    <w:bookmarkStart w:id="28" w:name="references-selected"/>
    <w:p>
      <w:pPr>
        <w:pStyle w:val="Heading2"/>
      </w:pPr>
      <w:r>
        <w:t xml:space="preserve">References (Selected)</w:t>
      </w:r>
    </w:p>
    <w:p>
      <w:pPr>
        <w:numPr>
          <w:ilvl w:val="0"/>
          <w:numId w:val="1005"/>
        </w:numPr>
        <w:pStyle w:val="Compact"/>
      </w:pPr>
      <w:r>
        <w:t xml:space="preserve">Indonesian Ministry of Public Works. (2023). *Infrastructure Defect Report: Jakarta Metropolitan Area*. Jakarta: BPS-Statistik.</w:t>
      </w:r>
    </w:p>
    <w:p>
      <w:pPr>
        <w:numPr>
          <w:ilvl w:val="0"/>
          <w:numId w:val="1005"/>
        </w:numPr>
        <w:pStyle w:val="Compact"/>
      </w:pPr>
      <w:r>
        <w:t xml:space="preserve">Jakarta Development Agency. (2023). *Economic Impact of Construction Delays*. Jakarta: Pemda DKI.</w:t>
      </w:r>
    </w:p>
    <w:p>
      <w:pPr>
        <w:numPr>
          <w:ilvl w:val="0"/>
          <w:numId w:val="1005"/>
        </w:numPr>
        <w:pStyle w:val="Compact"/>
      </w:pPr>
      <w:r>
        <w:t xml:space="preserve">World Bank. (2021). *Welding Standards in Emerging Economies*. Washington, DC: World Bank Group.</w:t>
      </w:r>
    </w:p>
    <w:p>
      <w:pPr>
        <w:numPr>
          <w:ilvl w:val="0"/>
          <w:numId w:val="1005"/>
        </w:numPr>
        <w:pStyle w:val="Compact"/>
      </w:pPr>
      <w:r>
        <w:t xml:space="preserve">BPJS Ketenagakerjaan. (2023). *Construction Sector Safety Data*. Jakarta: BPJS.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Competency Frameworks for Sustainable Infrastructure Development in Indonesia Jakarta</dc:title>
  <dc:creator/>
  <dc:language>en</dc:language>
  <cp:keywords/>
  <dcterms:created xsi:type="dcterms:W3CDTF">2026-07-20T23:16:44Z</dcterms:created>
  <dcterms:modified xsi:type="dcterms:W3CDTF">2026-07-20T23:16:44Z</dcterms:modified>
</cp:coreProperties>
</file>

<file path=docProps/custom.xml><?xml version="1.0" encoding="utf-8"?>
<Properties xmlns="http://schemas.openxmlformats.org/officeDocument/2006/custom-properties" xmlns:vt="http://schemas.openxmlformats.org/officeDocument/2006/docPropsVTypes"/>
</file>