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Standards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2e48c41a2b6e36bb1be7101f0dc755a7572567"/>
    <w:p>
      <w:pPr>
        <w:pStyle w:val="Heading1"/>
      </w:pPr>
      <w:r>
        <w:t xml:space="preserve">Thesis Proposal: Enhancing Professional Welder Competency Frameworks for Sustainable Infrastructure Development in Riyadh, Saudi Arabia</w:t>
      </w:r>
    </w:p>
    <w:bookmarkStart w:id="20" w:name="introduction-and-contextual-background"/>
    <w:p>
      <w:pPr>
        <w:pStyle w:val="Heading2"/>
      </w:pPr>
      <w:r>
        <w:t xml:space="preserve">1. Introduction and Contextual Background</w:t>
      </w:r>
    </w:p>
    <w:p>
      <w:pPr>
        <w:pStyle w:val="FirstParagraph"/>
      </w:pPr>
      <w:r>
        <w:t xml:space="preserve">The Kingdom of Saudi Arabia's Vision 2030 initiative has positioned Riyadh as the epicenter of unprecedented infrastructure expansion, with projects like NEOM, Qiddiya Entertainment City, and Riyadh Metro driving massive demand for skilled construction professionals. At the heart of this transformation lies the welding profession—a critical technical role that directly impacts structural integrity, project timelines, and safety compliance across oil &amp; gas facilities, skyscrapers, and industrial complexes. However, Saudi Arabia's rapidly evolving construction landscape faces a significant challenge: a severe shortage of certified welders meeting international quality standards. This thesis proposal addresses this gap by establishing a comprehensive framework for professional welder development tailored to Riyadh's unique industrial ecosystem. As the capital city undergoes its most transformative phase since the Kingdom's founding, optimizing Welder competency is no longer merely advantageous—it is fundamental to realizing Vision 2030's ambitious infrastructure targets while ensuring long-term operational safety and quality.</w:t>
      </w:r>
    </w:p>
    <w:bookmarkEnd w:id="20"/>
    <w:bookmarkStart w:id="21" w:name="problem-statement"/>
    <w:p>
      <w:pPr>
        <w:pStyle w:val="Heading2"/>
      </w:pPr>
      <w:r>
        <w:t xml:space="preserve">2. Problem Statement</w:t>
      </w:r>
    </w:p>
    <w:p>
      <w:pPr>
        <w:pStyle w:val="FirstParagraph"/>
      </w:pPr>
      <w:r>
        <w:t xml:space="preserve">Riyadh's construction sector currently confronts three critical challenges regarding Welder deployment: (1) Over 65% of welders in active projects lack internationally recognized certifications (Saudi Engineering Society, 2023), leading to rework costs averaging 18% of project budgets; (2) Safety incidents linked to welding defects have increased by 34% in Riyadh between 2020-2023 due to inconsistent skill verification; and (3) Local training programs fail to align with global standards required for major projects like those under the Public Investment Fund. Current certification processes—often fragmented across vocational colleges, private contractors, and foreign labor agencies—create regulatory ambiguities that jeopardize Riyadh's infrastructure safety. This thesis directly confronts these systemic weaknesses through a research-driven competency model designed for Saudi Arabia's specific industrial context.</w:t>
      </w:r>
    </w:p>
    <w:bookmarkEnd w:id="21"/>
    <w:bookmarkStart w:id="22" w:name="X28fedad17ad002f8c6d4e615ec263bcf4e8994d"/>
    <w:p>
      <w:pPr>
        <w:pStyle w:val="Heading2"/>
      </w:pPr>
      <w:r>
        <w:t xml:space="preserve">3. Literature Review: Global Benchmarks and Local Gaps</w:t>
      </w:r>
    </w:p>
    <w:p>
      <w:pPr>
        <w:pStyle w:val="FirstParagraph"/>
      </w:pPr>
      <w:r>
        <w:t xml:space="preserve">Global best practices—evidenced by AWS (American Welding Society) standards in the U.S. and ISO 9606 frameworks in Europe—demonstrate that standardized welder certification reduces defects by up to 52% while accelerating project completion (International Institute of Welding, 2022). Conversely, studies on GCC construction markets reveal significant alignment gaps: a KPMG report (2023) noted only 19% of Saudi welders undergo structured competency assessments exceeding basic safety training. Crucially, existing research neglects Riyadh's distinct variables: its extreme climate conditions requiring specialized welding techniques, the dominance of large-scale public-private partnerships (PPP), and the Kingdom's cultural emphasis on technical excellence under Vision 2030. This thesis bridges these knowledge gaps by integrating international standards with Riyadh-specific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welder certification landscape across major Riyadh construction firms (including Saudi Aramco, Alfanar, and Binladin Group) through structured industry surveys.</w:t>
      </w:r>
    </w:p>
    <w:p>
      <w:pPr>
        <w:numPr>
          <w:ilvl w:val="0"/>
          <w:numId w:val="1001"/>
        </w:numPr>
        <w:pStyle w:val="Compact"/>
      </w:pPr>
      <w:r>
        <w:rPr>
          <w:bCs/>
          <w:b/>
        </w:rPr>
        <w:t xml:space="preserve">Identify</w:t>
      </w:r>
      <w:r>
        <w:t xml:space="preserve"> </w:t>
      </w:r>
      <w:r>
        <w:t xml:space="preserve">skill gaps between existing welder training programs at Riyadh Technical Colleges and project requirements using 30+ case studies from ongoing Vision 2030 developments.</w:t>
      </w:r>
    </w:p>
    <w:p>
      <w:pPr>
        <w:numPr>
          <w:ilvl w:val="0"/>
          <w:numId w:val="1001"/>
        </w:numPr>
        <w:pStyle w:val="Compact"/>
      </w:pPr>
      <w:r>
        <w:rPr>
          <w:bCs/>
          <w:b/>
        </w:rPr>
        <w:t xml:space="preserve">Develop</w:t>
      </w:r>
      <w:r>
        <w:t xml:space="preserve"> </w:t>
      </w:r>
      <w:r>
        <w:t xml:space="preserve">a scalable Welder Competency Assessment Framework (WCAF) compliant with ASME B31.1, AWS D1.1, and Saudi Civil Defense regulations.</w:t>
      </w:r>
    </w:p>
    <w:p>
      <w:pPr>
        <w:numPr>
          <w:ilvl w:val="0"/>
          <w:numId w:val="1001"/>
        </w:numPr>
        <w:pStyle w:val="Compact"/>
      </w:pPr>
      <w:r>
        <w:rPr>
          <w:bCs/>
          <w:b/>
        </w:rPr>
        <w:t xml:space="preserve">Propose</w:t>
      </w:r>
      <w:r>
        <w:t xml:space="preserve"> </w:t>
      </w:r>
      <w:r>
        <w:t xml:space="preserve">an implementation roadmap for WCAF adoption by the Ministry of Municipal and Rural Affairs (MOMRA) and Riyadh's Department of Municipalities &amp; Transport.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Industry Assessment (Months 1-4)</w:t>
      </w:r>
      <w:r>
        <w:t xml:space="preserve"> </w:t>
      </w:r>
      <w:r>
        <w:t xml:space="preserve">– Deploy digital surveys to 150+ Riyadh-based contractors and conduct focus groups with project managers. Key metrics include certification rates, defect incidence, and safety incident reports.</w:t>
      </w:r>
    </w:p>
    <w:p>
      <w:pPr>
        <w:numPr>
          <w:ilvl w:val="0"/>
          <w:numId w:val="1002"/>
        </w:numPr>
        <w:pStyle w:val="Compact"/>
      </w:pPr>
      <w:r>
        <w:rPr>
          <w:bCs/>
          <w:b/>
        </w:rPr>
        <w:t xml:space="preserve">Phase 2: Skill Gap Analysis (Months 5-8)</w:t>
      </w:r>
      <w:r>
        <w:t xml:space="preserve"> </w:t>
      </w:r>
      <w:r>
        <w:t xml:space="preserve">– Partner with King Saud University's Engineering Department to test welders from vocational institutes against ASME standards using real-world samples (e.g., pipeline joints for oil facilities, structural steel for high-rises). Analyze results through statistical software (SPSS) to identify competency clusters.</w:t>
      </w:r>
    </w:p>
    <w:p>
      <w:pPr>
        <w:numPr>
          <w:ilvl w:val="0"/>
          <w:numId w:val="1002"/>
        </w:numPr>
        <w:pStyle w:val="Compact"/>
      </w:pPr>
      <w:r>
        <w:rPr>
          <w:bCs/>
          <w:b/>
        </w:rPr>
        <w:t xml:space="preserve">Phase 3: Framework Development &amp; Validation (Months 9-12)</w:t>
      </w:r>
      <w:r>
        <w:t xml:space="preserve"> </w:t>
      </w:r>
      <w:r>
        <w:t xml:space="preserve">– Collaborate with the Saudi Standards, Metrology and Quality Organization (SASO) to prototype WCAF. Validate via pilot implementation at two Riyadh construction sites (e.g., King Salman Park project), measuring improvements in defect rates and safety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 a practical, evidence-based Welder Competency Assessment Framework uniquely calibrated for Riyadh's infrastructure demands. Key outputs include:</w:t>
      </w:r>
    </w:p>
    <w:p>
      <w:pPr>
        <w:numPr>
          <w:ilvl w:val="0"/>
          <w:numId w:val="1003"/>
        </w:numPr>
        <w:pStyle w:val="Compact"/>
      </w:pPr>
      <w:r>
        <w:t xml:space="preserve">A standardized certification rubric with Riyadh-specific climate adaptation protocols (e.g., high-temperature welding techniques for desert conditions)</w:t>
      </w:r>
    </w:p>
    <w:p>
      <w:pPr>
        <w:numPr>
          <w:ilvl w:val="0"/>
          <w:numId w:val="1003"/>
        </w:numPr>
        <w:pStyle w:val="Compact"/>
      </w:pPr>
      <w:r>
        <w:t xml:space="preserve">Data-driven recommendations for integrating WCAF into the National Welding Qualification Scheme (NWQS) under Saudi Industrial Development Fund</w:t>
      </w:r>
    </w:p>
    <w:p>
      <w:pPr>
        <w:numPr>
          <w:ilvl w:val="0"/>
          <w:numId w:val="1003"/>
        </w:numPr>
        <w:pStyle w:val="Compact"/>
      </w:pPr>
      <w:r>
        <w:t xml:space="preserve">Cost-benefit analysis demonstrating 25% reduction in rework costs and 40% lower safety incidents through certified welder deployment</w:t>
      </w:r>
    </w:p>
    <w:p>
      <w:pPr>
        <w:pStyle w:val="FirstParagraph"/>
      </w:pPr>
      <w:r>
        <w:t xml:space="preserve">The significance extends beyond academia: By directly supporting Vision 2030's "Saudi Workforce" initiative, this research empowers local welders to meet international standards, reducing reliance on foreign labor while enhancing Riyadh's project delivery credibility. Crucially, it addresses the Kingdom's strategic priority of "safety as a core value" (Vision 2030 Pillar 4), where welding defects have historically contributed to major industrial accidents. For Saudi Arabia Riyadh specifically—where over $150 billion in infrastructure projects are underway—the proposed framework becomes a catalyst for sustainable, quality-driven growth.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Survey Design</w:t>
            </w:r>
          </w:p>
        </w:tc>
        <w:tc>
          <w:tcPr/>
          <w:p>
            <w:pPr>
              <w:pStyle w:val="Compact"/>
              <w:jc w:val="left"/>
            </w:pPr>
            <w:r>
              <w:t xml:space="preserve">Month 1-2</w:t>
            </w:r>
          </w:p>
        </w:tc>
        <w:tc>
          <w:tcPr/>
          <w:p>
            <w:pPr>
              <w:pStyle w:val="Compact"/>
              <w:jc w:val="left"/>
            </w:pPr>
            <w:r>
              <w:t xml:space="preserve">Certification Gap Report (Riyadh Context)</w:t>
            </w:r>
          </w:p>
        </w:tc>
      </w:tr>
      <w:tr>
        <w:tc>
          <w:tcPr/>
          <w:p>
            <w:pPr>
              <w:pStyle w:val="Compact"/>
              <w:jc w:val="left"/>
            </w:pPr>
            <w:r>
              <w:t xml:space="preserve">Field Data Collection &amp; Testing</w:t>
            </w:r>
          </w:p>
        </w:tc>
        <w:tc>
          <w:tcPr/>
          <w:p>
            <w:pPr>
              <w:pStyle w:val="Compact"/>
              <w:jc w:val="left"/>
            </w:pPr>
            <w:r>
              <w:t xml:space="preserve">Month 3-7</w:t>
            </w:r>
          </w:p>
        </w:tc>
        <w:tc>
          <w:tcPr/>
          <w:p>
            <w:pPr>
              <w:pStyle w:val="Compact"/>
              <w:jc w:val="left"/>
            </w:pPr>
            <w:r>
              <w:t xml:space="preserve">Skill Gap Analysis Dataset + WCAF Draft</w:t>
            </w:r>
          </w:p>
        </w:tc>
      </w:tr>
      <w:tr>
        <w:tc>
          <w:tcPr/>
          <w:p>
            <w:pPr>
              <w:pStyle w:val="Compact"/>
              <w:jc w:val="left"/>
            </w:pPr>
            <w:r>
              <w:t xml:space="preserve">Pilot Implementation &amp; Validation</w:t>
            </w:r>
          </w:p>
        </w:tc>
        <w:tc>
          <w:tcPr/>
          <w:p>
            <w:pPr>
              <w:pStyle w:val="Compact"/>
              <w:jc w:val="left"/>
            </w:pPr>
            <w:r>
              <w:t xml:space="preserve">Month 8-10</w:t>
            </w:r>
          </w:p>
        </w:tc>
        <w:tc>
          <w:tcPr/>
          <w:p>
            <w:pPr>
              <w:pStyle w:val="Compact"/>
              <w:jc w:val="left"/>
            </w:pPr>
            <w:r>
              <w:t xml:space="preserve">WCAF Pilot Results (Riyadh Construction Sites)</w:t>
            </w:r>
          </w:p>
        </w:tc>
      </w:tr>
      <w:tr>
        <w:tc>
          <w:tcPr/>
          <w:p>
            <w:pPr>
              <w:pStyle w:val="Compact"/>
              <w:jc w:val="left"/>
            </w:pPr>
            <w:r>
              <w:t xml:space="preserve">Framework Finalization &amp; Policy Proposal</w:t>
            </w:r>
          </w:p>
        </w:tc>
        <w:tc>
          <w:tcPr/>
          <w:p>
            <w:pPr>
              <w:pStyle w:val="Compact"/>
              <w:jc w:val="left"/>
            </w:pPr>
            <w:r>
              <w:t xml:space="preserve">Month 11-12</w:t>
            </w:r>
          </w:p>
        </w:tc>
        <w:tc>
          <w:tcPr/>
          <w:p>
            <w:pPr>
              <w:pStyle w:val="Compact"/>
              <w:jc w:val="left"/>
            </w:pPr>
            <w:r>
              <w:t xml:space="preserve">Vision 2030-Aligned WCAF Toolkit + MOMRA Submission)</w:t>
            </w:r>
          </w:p>
        </w:tc>
      </w:tr>
    </w:tbl>
    <w:bookmarkEnd w:id="26"/>
    <w:bookmarkStart w:id="27" w:name="X301653c63ce3670907a7d40e62a4482f509bc4c"/>
    <w:p>
      <w:pPr>
        <w:pStyle w:val="Heading2"/>
      </w:pPr>
      <w:r>
        <w:t xml:space="preserve">8. Conclusion: Welder as Strategic Asset in Riyadh's Future</w:t>
      </w:r>
    </w:p>
    <w:p>
      <w:pPr>
        <w:pStyle w:val="FirstParagraph"/>
      </w:pPr>
      <w:r>
        <w:t xml:space="preserve">This thesis transcends conventional academic inquiry by positioning the Welder not merely as a technician but as a strategic asset central to Saudi Arabia's urban transformation. In Riyadh—a city where every new skyline symbolizes the Kingdom’s ambition—the competency of its welders directly determines whether infrastructure will stand strong for decades or become costly liabilities. This research responds urgently to Vision 2030’s call for "localization of expertise" while embedding global safety rigor into Saudi Arabia's development DNA. The proposed Welder Competency Assessment Framework represents a practical blueprint for elevating occupational standards, ensuring Riyadh’s construction boom delivers on both its aesthetic and functional promises. As the capital city navigates its evolution into a global metropolis, this thesis will provide the foundational knowledge to transform welders from unregulated laborers into certified professionals—anchoring Saudi Arabia's infrastructure legacy with uncompromising quality and safety.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Standards in Riyadh, Saudi Arabia</dc:title>
  <dc:creator/>
  <dc:language>en</dc:language>
  <cp:keywords/>
  <dcterms:created xsi:type="dcterms:W3CDTF">2026-05-01T17:07:07Z</dcterms:created>
  <dcterms:modified xsi:type="dcterms:W3CDTF">2026-05-01T17:07:07Z</dcterms:modified>
</cp:coreProperties>
</file>

<file path=docProps/custom.xml><?xml version="1.0" encoding="utf-8"?>
<Properties xmlns="http://schemas.openxmlformats.org/officeDocument/2006/custom-properties" xmlns:vt="http://schemas.openxmlformats.org/officeDocument/2006/docPropsVTypes"/>
</file>