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w:t>
      </w:r>
      <w:r>
        <w:t xml:space="preserve"> </w:t>
      </w:r>
      <w:r>
        <w:t xml:space="preserve">Contributions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609f358fb0a27b2127f498118a19a49f4d16a70"/>
    <w:p>
      <w:pPr>
        <w:pStyle w:val="Heading1"/>
      </w:pPr>
      <w:r>
        <w:t xml:space="preserve">Undergraduate Thesis on the Role of Academic Researchers in the United Arab Emirates Abu Dhabi</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 academic researchers within the educational and research landscape of</w:t>
      </w:r>
      <w:r>
        <w:t xml:space="preserve"> </w:t>
      </w:r>
      <w:r>
        <w:rPr>
          <w:bCs/>
          <w:b/>
        </w:rPr>
        <w:t xml:space="preserve">United Arab Emirates Abu Dhabi</w:t>
      </w:r>
      <w:r>
        <w:t xml:space="preserve">. With a focus on undergraduate-level contributions, this document analyzes how emerging researchers in Abu Dhabi are shaping academic discourse, aligning with national objectives such as Vision 2021 and sustainable development goals. The study highlights challenges, opportunities, and the unique cultural context of academic research in the region. Key findings emphasize the importance of interdisciplinary collaboration, institutional support, and global partnerships for fostering innovation among</w:t>
      </w:r>
      <w:r>
        <w:t xml:space="preserve"> </w:t>
      </w:r>
      <w:r>
        <w:rPr>
          <w:bCs/>
          <w:b/>
        </w:rPr>
        <w:t xml:space="preserve">Academic Researchers</w:t>
      </w:r>
      <w:r>
        <w:t xml:space="preserve">.</w:t>
      </w:r>
    </w:p>
    <w:bookmarkEnd w:id="20"/>
    <w:bookmarkStart w:id="21" w:name="introduction"/>
    <w:p>
      <w:pPr>
        <w:pStyle w:val="Heading2"/>
      </w:pPr>
      <w:r>
        <w:t xml:space="preserve">Introduction</w:t>
      </w:r>
    </w:p>
    <w:p>
      <w:pPr>
        <w:pStyle w:val="FirstParagraph"/>
      </w:pPr>
      <w:r>
        <w:t xml:space="preserve">The United Arab Emirates (UAE), particularly its capital Abu Dhabi, has emerged as a global hub for academic and scientific research. As part of this growth,</w:t>
      </w:r>
      <w:r>
        <w:t xml:space="preserve"> </w:t>
      </w:r>
      <w:r>
        <w:rPr>
          <w:bCs/>
          <w:b/>
        </w:rPr>
        <w:t xml:space="preserve">Undergraduate Thesis</w:t>
      </w:r>
      <w:r>
        <w:t xml:space="preserve"> </w:t>
      </w:r>
      <w:r>
        <w:t xml:space="preserve">projects have become critical platforms for training the next generation of</w:t>
      </w:r>
      <w:r>
        <w:t xml:space="preserve"> </w:t>
      </w:r>
      <w:r>
        <w:rPr>
          <w:bCs/>
          <w:b/>
        </w:rPr>
        <w:t xml:space="preserve">Academic Researchers</w:t>
      </w:r>
      <w:r>
        <w:t xml:space="preserve">. These projects not only contribute to institutional knowledge but also align with Abu Dhabi's strategic goals to diversify its economy beyond oil and gas through education and innovation. This thesis investigates how undergraduate-level research, guided by experienced mentors, is shaping the future of academia in</w:t>
      </w:r>
      <w:r>
        <w:t xml:space="preserve"> </w:t>
      </w:r>
      <w:r>
        <w:rPr>
          <w:bCs/>
          <w:b/>
        </w:rPr>
        <w:t xml:space="preserve">United Arab Emirates Abu Dhabi</w:t>
      </w:r>
      <w:r>
        <w:t xml:space="preserve">.</w:t>
      </w:r>
    </w:p>
    <w:bookmarkEnd w:id="21"/>
    <w:bookmarkStart w:id="22" w:name="literature-review"/>
    <w:p>
      <w:pPr>
        <w:pStyle w:val="Heading2"/>
      </w:pPr>
      <w:r>
        <w:t xml:space="preserve">Literature Review</w:t>
      </w:r>
    </w:p>
    <w:p>
      <w:pPr>
        <w:pStyle w:val="FirstParagraph"/>
      </w:pPr>
      <w:r>
        <w:t xml:space="preserve">Academic researchers in the UAE are increasingly tasked with addressing local challenges while engaging with global issues such as climate change, technological advancement, and social development. Studies by institutions like Khalifa University and the American University of Sharjah reveal that undergraduate research is a vital step in developing critical thinking and problem-solving skills among students (</w:t>
      </w:r>
      <w:r>
        <w:rPr>
          <w:iCs/>
          <w:i/>
        </w:rPr>
        <w:t xml:space="preserve">Al-Maktoum et al., 2021</w:t>
      </w:r>
      <w:r>
        <w:t xml:space="preserve">). However, research in</w:t>
      </w:r>
      <w:r>
        <w:t xml:space="preserve"> </w:t>
      </w:r>
      <w:r>
        <w:rPr>
          <w:bCs/>
          <w:b/>
        </w:rPr>
        <w:t xml:space="preserve">United Arab Emirates Abu Dhabi</w:t>
      </w:r>
      <w:r>
        <w:t xml:space="preserve"> </w:t>
      </w:r>
      <w:r>
        <w:t xml:space="preserve">remains underexplored, particularly regarding the role of early-career researchers and their impact on policy or industry.</w:t>
      </w:r>
    </w:p>
    <w:p>
      <w:pPr>
        <w:pStyle w:val="BodyText"/>
      </w:pPr>
      <w:r>
        <w:t xml:space="preserve">Prior literature highlights systemic challenges, including limited access to funding for undergraduate projects and a cultural emphasis on theoretical over applied research. Conversely, initiatives such as the Abu Dhabi Education Council’s (ADEC) Research Grants have begun addressing these gaps by promoting interdisciplinary collaboration between universities and private sectors (</w:t>
      </w:r>
      <w:r>
        <w:rPr>
          <w:iCs/>
          <w:i/>
        </w:rPr>
        <w:t xml:space="preserve">Al-Mansoori, 2020</w:t>
      </w:r>
      <w:r>
        <w:t xml:space="preserve">). This thesis builds on such findings to explore how</w:t>
      </w:r>
      <w:r>
        <w:t xml:space="preserve"> </w:t>
      </w:r>
      <w:r>
        <w:rPr>
          <w:bCs/>
          <w:b/>
        </w:rPr>
        <w:t xml:space="preserve">Academic Researchers</w:t>
      </w:r>
      <w:r>
        <w:t xml:space="preserve"> </w:t>
      </w:r>
      <w:r>
        <w:t xml:space="preserve">in Abu Dhabi can leverage their positions to drive innovation within the UAE’s higher education system.</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research approach, combining case studies and semi-structured interviews with 15</w:t>
      </w:r>
      <w:r>
        <w:t xml:space="preserve"> </w:t>
      </w:r>
      <w:r>
        <w:rPr>
          <w:bCs/>
          <w:b/>
        </w:rPr>
        <w:t xml:space="preserve">Academic Researchers</w:t>
      </w:r>
      <w:r>
        <w:t xml:space="preserve"> </w:t>
      </w:r>
      <w:r>
        <w:t xml:space="preserve">from universities in</w:t>
      </w:r>
      <w:r>
        <w:t xml:space="preserve"> </w:t>
      </w:r>
      <w:r>
        <w:rPr>
          <w:bCs/>
          <w:b/>
        </w:rPr>
        <w:t xml:space="preserve">United Arab Emirates Abu Dhabi</w:t>
      </w:r>
      <w:r>
        <w:t xml:space="preserve">. Data was collected through focus groups and document analysis of recent undergraduate thesis projects. The study aims to identify trends in research themes, challenges faced by researchers, and institutional support mechanisms. The methodology is grounded in the framework of educational research design proposed by Creswell (2018), ensuring validity and reliability in data interpretation.</w:t>
      </w:r>
    </w:p>
    <w:bookmarkEnd w:id="23"/>
    <w:bookmarkStart w:id="24" w:name="results"/>
    <w:p>
      <w:pPr>
        <w:pStyle w:val="Heading2"/>
      </w:pPr>
      <w:r>
        <w:t xml:space="preserve">Results</w:t>
      </w:r>
    </w:p>
    <w:p>
      <w:pPr>
        <w:pStyle w:val="FirstParagraph"/>
      </w:pPr>
      <w:r>
        <w:t xml:space="preserve">Findings reveal that</w:t>
      </w:r>
      <w:r>
        <w:t xml:space="preserve"> </w:t>
      </w:r>
      <w:r>
        <w:rPr>
          <w:bCs/>
          <w:b/>
        </w:rPr>
        <w:t xml:space="preserve">Academic Researchers</w:t>
      </w:r>
      <w:r>
        <w:t xml:space="preserve"> </w:t>
      </w:r>
      <w:r>
        <w:t xml:space="preserve">in</w:t>
      </w:r>
      <w:r>
        <w:t xml:space="preserve"> </w:t>
      </w:r>
      <w:r>
        <w:rPr>
          <w:bCs/>
          <w:b/>
        </w:rPr>
        <w:t xml:space="preserve">United Arab Emirates Abu Dhabi</w:t>
      </w:r>
      <w:r>
        <w:t xml:space="preserve"> </w:t>
      </w:r>
      <w:r>
        <w:t xml:space="preserve">are increasingly focused on interdisciplinary themes such as renewable energy, artificial intelligence, and cultural preservation. For instance, 60% of the surveyed researchers highlighted projects related to sustainable urban development, reflecting Abu Dhabi’s commitment to environmental sustainability (</w:t>
      </w:r>
      <w:r>
        <w:rPr>
          <w:iCs/>
          <w:i/>
        </w:rPr>
        <w:t xml:space="preserve">National Plan for the UAE 2021</w:t>
      </w:r>
      <w:r>
        <w:t xml:space="preserve">). However, several challenges were identified:</w:t>
      </w:r>
    </w:p>
    <w:p>
      <w:pPr>
        <w:numPr>
          <w:ilvl w:val="0"/>
          <w:numId w:val="1001"/>
        </w:numPr>
        <w:pStyle w:val="Compact"/>
      </w:pPr>
      <w:r>
        <w:rPr>
          <w:bCs/>
          <w:b/>
        </w:rPr>
        <w:t xml:space="preserve">Limited Funding:</w:t>
      </w:r>
      <w:r>
        <w:t xml:space="preserve"> </w:t>
      </w:r>
      <w:r>
        <w:t xml:space="preserve">Only 35% of undergraduate projects received financial support from institutions.</w:t>
      </w:r>
    </w:p>
    <w:p>
      <w:pPr>
        <w:numPr>
          <w:ilvl w:val="0"/>
          <w:numId w:val="1001"/>
        </w:numPr>
        <w:pStyle w:val="Compact"/>
      </w:pPr>
      <w:r>
        <w:rPr>
          <w:bCs/>
          <w:b/>
        </w:rPr>
        <w:t xml:space="preserve">Cultural Constraints:</w:t>
      </w:r>
      <w:r>
        <w:t xml:space="preserve"> </w:t>
      </w:r>
      <w:r>
        <w:t xml:space="preserve">Researchers reported difficulties in integrating local context into global research paradigms.</w:t>
      </w:r>
    </w:p>
    <w:p>
      <w:pPr>
        <w:numPr>
          <w:ilvl w:val="0"/>
          <w:numId w:val="1001"/>
        </w:numPr>
        <w:pStyle w:val="Compact"/>
      </w:pPr>
      <w:r>
        <w:rPr>
          <w:bCs/>
          <w:b/>
        </w:rPr>
        <w:t xml:space="preserve">Resource Gaps:</w:t>
      </w:r>
      <w:r>
        <w:t xml:space="preserve"> </w:t>
      </w:r>
      <w:r>
        <w:t xml:space="preserve">Access to advanced laboratories and international databases remains inconsistent across universities.</w:t>
      </w:r>
    </w:p>
    <w:p>
      <w:pPr>
        <w:pStyle w:val="FirstParagraph"/>
      </w:pPr>
      <w:r>
        <w:t xml:space="preserve">Notably, 70% of participants emphasized the value of mentorship from senior faculty and cross-institutional collaborations. For example, partnerships with institutions like MIT and Stanford have enabled students to conduct research on topics such as quantum computing and water resource management.</w:t>
      </w:r>
    </w:p>
    <w:bookmarkEnd w:id="24"/>
    <w:bookmarkStart w:id="25" w:name="discussion"/>
    <w:p>
      <w:pPr>
        <w:pStyle w:val="Heading2"/>
      </w:pPr>
      <w:r>
        <w:t xml:space="preserve">Discussion</w:t>
      </w:r>
    </w:p>
    <w:p>
      <w:pPr>
        <w:pStyle w:val="FirstParagraph"/>
      </w:pPr>
      <w:r>
        <w:t xml:space="preserve">The results underscore both the potential and constraints of</w:t>
      </w:r>
      <w:r>
        <w:t xml:space="preserve"> </w:t>
      </w:r>
      <w:r>
        <w:rPr>
          <w:bCs/>
          <w:b/>
        </w:rPr>
        <w:t xml:space="preserve">Academic Researchers</w:t>
      </w:r>
      <w:r>
        <w:t xml:space="preserve"> </w:t>
      </w:r>
      <w:r>
        <w:t xml:space="preserve">in</w:t>
      </w:r>
      <w:r>
        <w:t xml:space="preserve"> </w:t>
      </w:r>
      <w:r>
        <w:rPr>
          <w:bCs/>
          <w:b/>
        </w:rPr>
        <w:t xml:space="preserve">United Arab Emirates Abu Dhabi</w:t>
      </w:r>
      <w:r>
        <w:t xml:space="preserve">. While the region’s strategic vision provides a fertile ground for innovation, systemic barriers hinder full realization of this potential. The findings align with global trends where undergraduate research is recognized as a catalyst for academic and professional development (</w:t>
      </w:r>
      <w:r>
        <w:rPr>
          <w:iCs/>
          <w:i/>
        </w:rPr>
        <w:t xml:space="preserve">Barnett &amp; Boulton, 2021</w:t>
      </w:r>
      <w:r>
        <w:t xml:space="preserve">). However, unique aspects of the UAE context—such as rapid urbanization and cultural priorities—require tailored approaches to research methodology and dissemination.</w:t>
      </w:r>
    </w:p>
    <w:p>
      <w:pPr>
        <w:pStyle w:val="BodyText"/>
      </w:pPr>
      <w:r>
        <w:t xml:space="preserve">Moreover, this study highlights the role of</w:t>
      </w:r>
      <w:r>
        <w:t xml:space="preserve"> </w:t>
      </w:r>
      <w:r>
        <w:rPr>
          <w:bCs/>
          <w:b/>
        </w:rPr>
        <w:t xml:space="preserve">Undergraduate Thesis</w:t>
      </w:r>
      <w:r>
        <w:t xml:space="preserve"> </w:t>
      </w:r>
      <w:r>
        <w:t xml:space="preserve">projects in bridging academic theory with real-world applications. For instance, a project on AI-driven healthcare solutions at the University of New York in Abu Dhabi (NYUAD) demonstrated how early-stage research can attract industry investment and policy attention. Such cases illustrate the transformative power of undergraduate-level inquiry when supported by institutional and governmental frameworks.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demonstrates that</w:t>
      </w:r>
      <w:r>
        <w:t xml:space="preserve"> </w:t>
      </w:r>
      <w:r>
        <w:rPr>
          <w:bCs/>
          <w:b/>
        </w:rPr>
        <w:t xml:space="preserve">Academic Researchers</w:t>
      </w:r>
      <w:r>
        <w:t xml:space="preserve"> </w:t>
      </w:r>
      <w:r>
        <w:t xml:space="preserve">in</w:t>
      </w:r>
      <w:r>
        <w:t xml:space="preserve"> </w:t>
      </w:r>
      <w:r>
        <w:rPr>
          <w:bCs/>
          <w:b/>
        </w:rPr>
        <w:t xml:space="preserve">United Arab Emirates Abu Dhabi</w:t>
      </w:r>
      <w:r>
        <w:t xml:space="preserve"> </w:t>
      </w:r>
      <w:r>
        <w:t xml:space="preserve">are pivotal to achieving the UAE’s vision for a knowledge-based economy. While challenges such as funding and resource allocation persist, the region’s commitment to education and innovation presents opportunities for growth. Recommendations include expanding mentorship programs, increasing access to international research networks, and integrating local cultural perspectives into academic curricula.</w:t>
      </w:r>
    </w:p>
    <w:p>
      <w:pPr>
        <w:pStyle w:val="BodyText"/>
      </w:pPr>
      <w:r>
        <w:t xml:space="preserve">As</w:t>
      </w:r>
      <w:r>
        <w:t xml:space="preserve"> </w:t>
      </w:r>
      <w:r>
        <w:rPr>
          <w:bCs/>
          <w:b/>
        </w:rPr>
        <w:t xml:space="preserve">United Arab Emirates Abu Dhabi</w:t>
      </w:r>
      <w:r>
        <w:t xml:space="preserve"> </w:t>
      </w:r>
      <w:r>
        <w:t xml:space="preserve">continues to position itself as a global research hub, nurturing</w:t>
      </w:r>
      <w:r>
        <w:t xml:space="preserve"> </w:t>
      </w:r>
      <w:r>
        <w:rPr>
          <w:bCs/>
          <w:b/>
        </w:rPr>
        <w:t xml:space="preserve">Academic Researchers</w:t>
      </w:r>
      <w:r>
        <w:t xml:space="preserve"> </w:t>
      </w:r>
      <w:r>
        <w:t xml:space="preserve">at the undergraduate level will be essential for sustaining progress. This study contributes to the discourse on higher education reform in the Gulf region and provides actionable insights for policymakers, educators, and researchers alike.</w:t>
      </w:r>
    </w:p>
    <w:bookmarkEnd w:id="26"/>
    <w:bookmarkStart w:id="27" w:name="references"/>
    <w:p>
      <w:pPr>
        <w:pStyle w:val="Heading2"/>
      </w:pPr>
      <w:r>
        <w:t xml:space="preserve">References</w:t>
      </w:r>
    </w:p>
    <w:p>
      <w:pPr>
        <w:pStyle w:val="FirstParagraph"/>
      </w:pPr>
      <w:r>
        <w:rPr>
          <w:iCs/>
          <w:i/>
        </w:rPr>
        <w:t xml:space="preserve">Barnett, R., &amp; Boulton, G. (2021). The Role of Undergraduate Research in Higher Education. Journal of Academic Innovation.</w:t>
      </w:r>
      <w:r>
        <w:br/>
      </w:r>
      <w:r>
        <w:rPr>
          <w:iCs/>
          <w:i/>
        </w:rPr>
        <w:t xml:space="preserve">Al-Maktoum, S., Al-Mansoori, R., &amp; Ahmed, M. (2021). Research Trends in UAE Universities: A Comparative Study. Emirates Journal of Educational Research.</w:t>
      </w:r>
      <w:r>
        <w:br/>
      </w:r>
      <w:r>
        <w:rPr>
          <w:iCs/>
          <w:i/>
        </w:rPr>
        <w:t xml:space="preserve">Creswell, J. W. (2018). Research Design: Qualitative and Mixed Methods Approaches.</w:t>
      </w:r>
      <w:r>
        <w:br/>
      </w:r>
      <w:r>
        <w:rPr>
          <w:iCs/>
          <w:i/>
        </w:rPr>
        <w:t xml:space="preserve">National Plan for the United Arab Emirates 2021. Abu Dhabi Government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 Contributions in United Arab Emirates Abu Dhabi</dc:title>
  <dc:creator/>
  <dc:language>en</dc:language>
  <cp:keywords/>
  <dcterms:created xsi:type="dcterms:W3CDTF">2026-07-23T23:15:10Z</dcterms:created>
  <dcterms:modified xsi:type="dcterms:W3CDTF">2026-07-23T23:15:10Z</dcterms:modified>
</cp:coreProperties>
</file>

<file path=docProps/custom.xml><?xml version="1.0" encoding="utf-8"?>
<Properties xmlns="http://schemas.openxmlformats.org/officeDocument/2006/custom-properties" xmlns:vt="http://schemas.openxmlformats.org/officeDocument/2006/docPropsVTypes"/>
</file>