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a6f2ac3103ae406bf461830d34c2e14a4b10b69"/>
    <w:p>
      <w:pPr>
        <w:pStyle w:val="Heading1"/>
      </w:pPr>
      <w:r>
        <w:t xml:space="preserve">Undergraduate Thesis: The Role of an Auditor in Australia Melbourne</w:t>
      </w:r>
    </w:p>
    <w:bookmarkStart w:id="20" w:name="abstract"/>
    <w:p>
      <w:pPr>
        <w:pStyle w:val="Heading2"/>
      </w:pPr>
      <w:r>
        <w:t xml:space="preserve">Abstract</w:t>
      </w:r>
    </w:p>
    <w:p>
      <w:pPr>
        <w:pStyle w:val="FirstParagraph"/>
      </w:pPr>
      <w:r>
        <w:t xml:space="preserve">This Undergraduate Thesis explores the critical role of auditors within the financial and regulatory framework of Australia, with a specific focus on Melbourne. As a major economic hub in Victoria, Melbourne hosts a diverse range of industries, from finance to technology, making it essential for auditors to uphold transparency and accountability. The thesis examines the responsibilities of an auditor in ensuring compliance with Australian accounting standards (AASB) and international financial reporting standards (IFRS), while addressing challenges such as regulatory changes, globalization impacts, and ethical dilemmas. By analyzing case studies from Melbourne-based organizations, this document highlights the significance of auditors in maintaining public trust and economic stability.</w:t>
      </w:r>
    </w:p>
    <w:bookmarkEnd w:id="20"/>
    <w:bookmarkStart w:id="21" w:name="introduction"/>
    <w:p>
      <w:pPr>
        <w:pStyle w:val="Heading2"/>
      </w:pPr>
      <w:r>
        <w:t xml:space="preserve">Introduction</w:t>
      </w:r>
    </w:p>
    <w:p>
      <w:pPr>
        <w:pStyle w:val="FirstParagraph"/>
      </w:pPr>
      <w:r>
        <w:t xml:space="preserve">The role of an auditor is indispensable in any economy, particularly within Australia’s structured financial system. In Melbourne, where businesses range from multinational corporations to small enterprises, auditors serve as guardians of financial integrity. This thesis aims to provide a comprehensive understanding of the auditor’s responsibilities, challenges, and contributions to Australia’s economic landscape. By focusing on Melbourne—a city renowned for its innovation and business dynamism—the study underscores how local factors influence the work of auditors in this region.</w:t>
      </w:r>
    </w:p>
    <w:bookmarkEnd w:id="21"/>
    <w:bookmarkStart w:id="22" w:name="literature-review"/>
    <w:p>
      <w:pPr>
        <w:pStyle w:val="Heading2"/>
      </w:pPr>
      <w:r>
        <w:t xml:space="preserve">Literature Review</w:t>
      </w:r>
    </w:p>
    <w:p>
      <w:pPr>
        <w:pStyle w:val="FirstParagraph"/>
      </w:pPr>
      <w:r>
        <w:t xml:space="preserve">Existing literature emphasizes the auditor’s role as an independent professional tasked with verifying financial statements and ensuring compliance with legal and regulatory requirements. In Australia, auditors operate under frameworks established by the Australian Accounting Standards Board (AASB) and the Corporations Act 2001. Key references include studies by CPA Australia, which highlight the importance of ethical standards in auditing practices.</w:t>
      </w:r>
    </w:p>
    <w:p>
      <w:pPr>
        <w:pStyle w:val="BodyText"/>
      </w:pPr>
      <w:r>
        <w:t xml:space="preserve">Melbourne’s unique economic profile—characterized by a mix of traditional industries and emerging sectors—requires auditors to adapt their methodologies. For instance, the city’s prominence in fintech and property development demands auditors to stay updated on sector-specific risks and compliance requirements. Research by Australian universities also underscores the impact of globalization on auditing practices, particularly in cross-border transactions.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industry reports, and case studies specific to Melbourne. The analysis focuses on the role of auditors in three key areas: regulatory compliance, risk management, and ethical challenges. Data sources include reports from the Australian Securities and Investments Commission (ASIC), CPA Australia’s guidelines, and interviews with auditors practicing in Melbourne.</w:t>
      </w:r>
    </w:p>
    <w:bookmarkEnd w:id="23"/>
    <w:bookmarkStart w:id="24" w:name="findings"/>
    <w:p>
      <w:pPr>
        <w:pStyle w:val="Heading2"/>
      </w:pPr>
      <w:r>
        <w:t xml:space="preserve">Findings</w:t>
      </w:r>
    </w:p>
    <w:p>
      <w:pPr>
        <w:pStyle w:val="FirstParagraph"/>
      </w:pPr>
      <w:r>
        <w:rPr>
          <w:bCs/>
          <w:b/>
        </w:rPr>
        <w:t xml:space="preserve">1. Regulatory Compliance in Melbourne:</w:t>
      </w:r>
      <w:r>
        <w:br/>
      </w:r>
      <w:r>
        <w:t xml:space="preserve">Auditors in Melbourne must navigate a complex regulatory environment, ensuring adherence to both Australian and international standards. The Corporations Act 2001 mandates that auditors verify financial statements for publicly listed companies, while the AASB provides guidelines for private entities. In Melbourne’s property sector, auditors frequently encounter challenges related to lease accounting and revenue recognition under IFRS 16.</w:t>
      </w:r>
    </w:p>
    <w:p>
      <w:pPr>
        <w:pStyle w:val="BodyText"/>
      </w:pPr>
      <w:r>
        <w:rPr>
          <w:bCs/>
          <w:b/>
        </w:rPr>
        <w:t xml:space="preserve">2. Risk Management in Diverse Industries:</w:t>
      </w:r>
      <w:r>
        <w:br/>
      </w:r>
      <w:r>
        <w:t xml:space="preserve">Melbourne’s economic diversity presents unique risks for auditors. For example, fintech startups in the city require auditors to assess cybersecurity vulnerabilities and data privacy compliance (e.g., under the Privacy Act 1988). Conversely, manufacturing firms may face challenges related to supply chain transparency and environmental accounting standards.</w:t>
      </w:r>
    </w:p>
    <w:p>
      <w:pPr>
        <w:pStyle w:val="BodyText"/>
      </w:pPr>
      <w:r>
        <w:rPr>
          <w:bCs/>
          <w:b/>
        </w:rPr>
        <w:t xml:space="preserve">3. Ethical Challenges:</w:t>
      </w:r>
      <w:r>
        <w:br/>
      </w:r>
      <w:r>
        <w:t xml:space="preserve">Auditors in Melbourne, like those across Australia, grapple with ethical dilemmas such as conflicts of interest and pressure from management to manipulate financial results. Case studies of companies like JB Hi-Fi (a Melbourne-based retail giant) demonstrate how auditors must balance independence with the need to maintain client relationships.</w:t>
      </w:r>
    </w:p>
    <w:bookmarkEnd w:id="24"/>
    <w:bookmarkStart w:id="25" w:name="X764384f8848fd63fabf8150098c4e7d50d71fcc"/>
    <w:p>
      <w:pPr>
        <w:pStyle w:val="Heading2"/>
      </w:pPr>
      <w:r>
        <w:t xml:space="preserve">Case Study: Auditor’s Role in Melbourne’s Property Sector</w:t>
      </w:r>
    </w:p>
    <w:p>
      <w:pPr>
        <w:pStyle w:val="FirstParagraph"/>
      </w:pPr>
      <w:r>
        <w:t xml:space="preserve">Melbourne’s property market, one of Australia’s most dynamic, illustrates the auditor’s role in mitigating financial risks. A 2021 audit of a Melbourne-based real estate company revealed discrepancies in revenue recognition practices. The auditor recommended adjustments to align with AASB 15 (Revenue from Contracts with Customers), ensuring accurate reporting and compliance with Australian Securities Exchange (ASX) requirements.</w:t>
      </w:r>
    </w:p>
    <w:bookmarkEnd w:id="25"/>
    <w:bookmarkStart w:id="26" w:name="challenges-and-opportunities"/>
    <w:p>
      <w:pPr>
        <w:pStyle w:val="Heading2"/>
      </w:pPr>
      <w:r>
        <w:t xml:space="preserve">Challenges and Opportunities</w:t>
      </w:r>
    </w:p>
    <w:p>
      <w:pPr>
        <w:pStyle w:val="FirstParagraph"/>
      </w:pPr>
      <w:r>
        <w:t xml:space="preserve">Auditors in Melbourne face challenges such as rapid regulatory changes, technological disruptions, and the need for continuous professional development. However, opportunities exist in adopting innovative tools like AI-driven audit software to enhance efficiency. Collaboration with local institutions like Deakin University or Monash University also provides avenues for research and training.</w:t>
      </w:r>
    </w:p>
    <w:bookmarkEnd w:id="26"/>
    <w:bookmarkStart w:id="27" w:name="conclusion"/>
    <w:p>
      <w:pPr>
        <w:pStyle w:val="Heading2"/>
      </w:pPr>
      <w:r>
        <w:t xml:space="preserve">Conclusion</w:t>
      </w:r>
    </w:p>
    <w:p>
      <w:pPr>
        <w:pStyle w:val="FirstParagraph"/>
      </w:pPr>
      <w:r>
        <w:t xml:space="preserve">This Undergraduate Thesis underscores the pivotal role of auditors in maintaining financial transparency and accountability within Australia, particularly in Melbourne. As a global business center, Melbourne’s auditors must address evolving risks while adhering to stringent regulatory frameworks. The findings highlight the need for ongoing education, ethical rigor, and technological adaptation to ensure audit quality. Future research could explore the impact of emerging trends like ESG (Environmental, Social, Governance) reporting on auditing practices in Melbourne.</w:t>
      </w:r>
    </w:p>
    <w:bookmarkEnd w:id="27"/>
    <w:bookmarkStart w:id="28" w:name="references"/>
    <w:p>
      <w:pPr>
        <w:pStyle w:val="Heading2"/>
      </w:pPr>
      <w:r>
        <w:t xml:space="preserve">References</w:t>
      </w:r>
    </w:p>
    <w:p>
      <w:pPr>
        <w:numPr>
          <w:ilvl w:val="0"/>
          <w:numId w:val="1001"/>
        </w:numPr>
        <w:pStyle w:val="Compact"/>
      </w:pPr>
      <w:r>
        <w:t xml:space="preserve">CPA Australia. (2023). *Ethical Standards for Auditing Practices.*</w:t>
      </w:r>
    </w:p>
    <w:p>
      <w:pPr>
        <w:numPr>
          <w:ilvl w:val="0"/>
          <w:numId w:val="1001"/>
        </w:numPr>
        <w:pStyle w:val="Compact"/>
      </w:pPr>
      <w:r>
        <w:t xml:space="preserve">Australian Accounting Standards Board (AASB). (n.d.). *Australian Accounting Standards.*</w:t>
      </w:r>
    </w:p>
    <w:p>
      <w:pPr>
        <w:numPr>
          <w:ilvl w:val="0"/>
          <w:numId w:val="1001"/>
        </w:numPr>
        <w:pStyle w:val="Compact"/>
      </w:pPr>
      <w:r>
        <w:t xml:space="preserve">Australian Securities and Investments Commission (ASIC). (2023). *Auditor Independence Guidelines.*</w:t>
      </w:r>
    </w:p>
    <w:p>
      <w:pPr>
        <w:numPr>
          <w:ilvl w:val="0"/>
          <w:numId w:val="1001"/>
        </w:numPr>
        <w:pStyle w:val="Compact"/>
      </w:pPr>
      <w:r>
        <w:t xml:space="preserve">Deakin University. (2022). *Case Studies in Financial Auditing: A Melbourne Perspective.*</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Australia Melbourne</dc:title>
  <dc:creator/>
  <dc:language>en</dc:language>
  <cp:keywords/>
  <dcterms:created xsi:type="dcterms:W3CDTF">2026-07-22T16:31:25Z</dcterms:created>
  <dcterms:modified xsi:type="dcterms:W3CDTF">2026-07-22T16:31:25Z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