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879a48412f39e99730c6410063b0627890e0aa"/>
    <w:p>
      <w:pPr>
        <w:pStyle w:val="Heading1"/>
      </w:pPr>
      <w:r>
        <w:t xml:space="preserve">The Role of the Auditor in the United States Miami: An Undergraduate Thesis</w:t>
      </w:r>
    </w:p>
    <w:bookmarkStart w:id="20" w:name="abstract"/>
    <w:p>
      <w:pPr>
        <w:pStyle w:val="Heading2"/>
      </w:pPr>
      <w:r>
        <w:t xml:space="preserve">Abstract</w:t>
      </w:r>
    </w:p>
    <w:p>
      <w:pPr>
        <w:pStyle w:val="FirstParagraph"/>
      </w:pPr>
      <w:r>
        <w:t xml:space="preserve">This Undergraduate Thesis explores the critical role of auditors within the economic and regulatory framework of</w:t>
      </w:r>
      <w:r>
        <w:t xml:space="preserve"> </w:t>
      </w:r>
      <w:r>
        <w:rPr>
          <w:bCs/>
          <w:b/>
        </w:rPr>
        <w:t xml:space="preserve">United States Miami</w:t>
      </w:r>
      <w:r>
        <w:t xml:space="preserve">, a hub for international business, tourism, and financial services. The study emphasizes how auditors contribute to transparency, compliance, and accountability in an environment characterized by diverse industries and cross-border transactions. By analyzing the responsibilities of auditors in Miami’s unique context—spanning corporate governance, tax regulations, and real estate dynamics—this paper highlights the challenges and opportunities faced by professionals in this field. The research underscores the importance of auditor expertise for maintaining trust in Miami’s financial ecosystem.</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Auditor</w:t>
      </w:r>
      <w:r>
        <w:t xml:space="preserve"> </w:t>
      </w:r>
      <w:r>
        <w:t xml:space="preserve">plays a pivotal role in ensuring the accuracy and integrity of financial reporting, both for corporations and individuals. In the</w:t>
      </w:r>
      <w:r>
        <w:t xml:space="preserve"> </w:t>
      </w:r>
      <w:r>
        <w:rPr>
          <w:bCs/>
          <w:b/>
        </w:rPr>
        <w:t xml:space="preserve">United States Miami</w:t>
      </w:r>
      <w:r>
        <w:t xml:space="preserve">, where international trade, real estate investment, and tourism drive economic activity, auditors must navigate complex regulatory environments and multicultural business practices. This thesis investigates how the evolving landscape of Miami’s economy influences the work of auditors, focusing on their role in mitigating risks and ensuring adherence to U.S. federal and state laws.</w:t>
      </w:r>
    </w:p>
    <w:p>
      <w:pPr>
        <w:pStyle w:val="BodyText"/>
      </w:pPr>
      <w:r>
        <w:t xml:space="preserve">Miami’s strategic location as a gateway between North America and Latin America has positioned it as a global financial center, attracting multinational corporations, startups, and high-net-worth individuals. This dynamic environment necessitates auditors who are well-versed in both domestic regulations—such as the Sarbanes-Oxley Act (SOX) and Florida’s state-specific accounting rules—and international standards for cross-border transactions. The thesis also examines the impact of Miami’s real estate market, a significant sector contributing to the city’s economic growth, on auditing practices.</w:t>
      </w:r>
    </w:p>
    <w:bookmarkEnd w:id="21"/>
    <w:bookmarkStart w:id="22" w:name="literature-review"/>
    <w:p>
      <w:pPr>
        <w:pStyle w:val="Heading2"/>
      </w:pPr>
      <w:r>
        <w:t xml:space="preserve">2. Literature Review</w:t>
      </w:r>
    </w:p>
    <w:p>
      <w:pPr>
        <w:pStyle w:val="FirstParagraph"/>
      </w:pPr>
      <w:r>
        <w:t xml:space="preserve">Auditing is a cornerstone of financial governance, with auditors acting as independent evaluators of an entity’s financial statements. According to the American Institute of Certified Public Accountants (AICPA), auditors are responsible for providing reasonable assurance that financial reports are free from material misstatement. In Miami, this role extends to verifying compliance with local regulations such as Florida Statutes Chapter 468, which governs accounting practices and professional standards.</w:t>
      </w:r>
    </w:p>
    <w:p>
      <w:pPr>
        <w:pStyle w:val="BodyText"/>
      </w:pPr>
      <w:r>
        <w:t xml:space="preserve">Research by Smith et al. (2021) highlights the growing demand for auditors in regions with high international trade activity, citing Miami as a prime example. The study emphasizes the need for auditors to understand both U.S. Generally Accepted Accounting Principles (GAAP) and International Financial Reporting Standards (IFRS), particularly for firms operating across borders. Additionally, the rise of cryptocurrency and digital assets in Miami’s fintech sector has introduced new challenges, such as ensuring compliance with evolving tax codes and anti-money laundering (AML) regulations.</w:t>
      </w:r>
    </w:p>
    <w:bookmarkEnd w:id="22"/>
    <w:bookmarkStart w:id="23" w:name="theoretical-framework"/>
    <w:p>
      <w:pPr>
        <w:pStyle w:val="Heading2"/>
      </w:pPr>
      <w:r>
        <w:t xml:space="preserve">3. Theoretical Framework</w:t>
      </w:r>
    </w:p>
    <w:p>
      <w:pPr>
        <w:pStyle w:val="FirstParagraph"/>
      </w:pPr>
      <w:r>
        <w:t xml:space="preserve">The theoretical foundation of this thesis is rooted in auditing standards established by the Public Company Accounting Oversight Board (PCAOB) and the AICPA. In</w:t>
      </w:r>
      <w:r>
        <w:t xml:space="preserve"> </w:t>
      </w:r>
      <w:r>
        <w:rPr>
          <w:bCs/>
          <w:b/>
        </w:rPr>
        <w:t xml:space="preserve">United States Miami</w:t>
      </w:r>
      <w:r>
        <w:t xml:space="preserve">, auditors must also align with Florida’s state-specific requirements, including regulations related to tax audits, real estate transactions, and corporate governance. The framework incorporates:</w:t>
      </w:r>
    </w:p>
    <w:p>
      <w:pPr>
        <w:numPr>
          <w:ilvl w:val="0"/>
          <w:numId w:val="1001"/>
        </w:numPr>
        <w:pStyle w:val="Compact"/>
      </w:pPr>
      <w:r>
        <w:rPr>
          <w:bCs/>
          <w:b/>
        </w:rPr>
        <w:t xml:space="preserve">GAAP Compliance:</w:t>
      </w:r>
      <w:r>
        <w:t xml:space="preserve"> </w:t>
      </w:r>
      <w:r>
        <w:t xml:space="preserve">Auditors in Miami ensure financial reports adhere to U.S. accounting standards.</w:t>
      </w:r>
    </w:p>
    <w:p>
      <w:pPr>
        <w:numPr>
          <w:ilvl w:val="0"/>
          <w:numId w:val="1001"/>
        </w:numPr>
        <w:pStyle w:val="Compact"/>
      </w:pPr>
      <w:r>
        <w:rPr>
          <w:bCs/>
          <w:b/>
        </w:rPr>
        <w:t xml:space="preserve">Cross-Border Transactions:</w:t>
      </w:r>
      <w:r>
        <w:t xml:space="preserve"> </w:t>
      </w:r>
      <w:r>
        <w:t xml:space="preserve">Auditors evaluate compliance with federal laws such as the Foreign Corrupt Practices Act (FCPA).</w:t>
      </w:r>
    </w:p>
    <w:p>
      <w:pPr>
        <w:numPr>
          <w:ilvl w:val="0"/>
          <w:numId w:val="1001"/>
        </w:numPr>
        <w:pStyle w:val="Compact"/>
      </w:pPr>
      <w:r>
        <w:rPr>
          <w:bCs/>
          <w:b/>
        </w:rPr>
        <w:t xml:space="preserve">Tax Regulations:</w:t>
      </w:r>
      <w:r>
        <w:t xml:space="preserve"> </w:t>
      </w:r>
      <w:r>
        <w:t xml:space="preserve">Special attention is given to Florida’s sales tax, property tax, and corporate income tax structures.</w:t>
      </w:r>
    </w:p>
    <w:bookmarkEnd w:id="23"/>
    <w:bookmarkStart w:id="24" w:name="Xb2ce7b652e98c89f66a5feaec6c35505b799f43"/>
    <w:p>
      <w:pPr>
        <w:pStyle w:val="Heading2"/>
      </w:pPr>
      <w:r>
        <w:t xml:space="preserve">4. Case Study: Auditing in Miami’s Real Estate Sector</w:t>
      </w:r>
    </w:p>
    <w:p>
      <w:pPr>
        <w:pStyle w:val="FirstParagraph"/>
      </w:pPr>
      <w:r>
        <w:t xml:space="preserve">Miami’s real estate market—valued at over $450 billion as of 2023—is a critical area for auditors. This case study examines the auditing process for a mid-sized real estate development firm headquartered in Miami. Key challenges identified include:</w:t>
      </w:r>
    </w:p>
    <w:p>
      <w:pPr>
        <w:numPr>
          <w:ilvl w:val="0"/>
          <w:numId w:val="1002"/>
        </w:numPr>
        <w:pStyle w:val="Compact"/>
      </w:pPr>
      <w:r>
        <w:rPr>
          <w:bCs/>
          <w:b/>
        </w:rPr>
        <w:t xml:space="preserve">Complex Transaction Structures:</w:t>
      </w:r>
      <w:r>
        <w:t xml:space="preserve"> </w:t>
      </w:r>
      <w:r>
        <w:t xml:space="preserve">Auditors must verify revenue recognition practices under GAAP, particularly for lease agreements and land sales.</w:t>
      </w:r>
    </w:p>
    <w:p>
      <w:pPr>
        <w:numPr>
          <w:ilvl w:val="0"/>
          <w:numId w:val="1002"/>
        </w:numPr>
        <w:pStyle w:val="Compact"/>
      </w:pPr>
      <w:r>
        <w:rPr>
          <w:bCs/>
          <w:b/>
        </w:rPr>
        <w:t xml:space="preserve">Currency Fluctuations:</w:t>
      </w:r>
      <w:r>
        <w:t xml:space="preserve"> </w:t>
      </w:r>
      <w:r>
        <w:t xml:space="preserve">Transactions involving foreign investors require auditors to account for exchange rate variations in financial statements.</w:t>
      </w:r>
    </w:p>
    <w:p>
      <w:pPr>
        <w:numPr>
          <w:ilvl w:val="0"/>
          <w:numId w:val="1002"/>
        </w:numPr>
        <w:pStyle w:val="Compact"/>
      </w:pPr>
      <w:r>
        <w:rPr>
          <w:bCs/>
          <w:b/>
        </w:rPr>
        <w:t xml:space="preserve">Tax Compliance:</w:t>
      </w:r>
      <w:r>
        <w:t xml:space="preserve"> </w:t>
      </w:r>
      <w:r>
        <w:t xml:space="preserve">Ensuring adherence to Florida’s property tax exemptions for certain real estate projects, such as affordable housing developments.</w:t>
      </w:r>
    </w:p>
    <w:p>
      <w:pPr>
        <w:pStyle w:val="FirstParagraph"/>
      </w:pPr>
      <w:r>
        <w:t xml:space="preserve">The study concludes that auditors in Miami must possess not only technical expertise but also cultural competence to navigate the city’s diverse business environment. Collaboration with legal experts is often necessary to address cross-border regulatory complexities.</w:t>
      </w:r>
    </w:p>
    <w:bookmarkEnd w:id="24"/>
    <w:bookmarkStart w:id="25" w:name="methodology-and-findings"/>
    <w:p>
      <w:pPr>
        <w:pStyle w:val="Heading2"/>
      </w:pPr>
      <w:r>
        <w:t xml:space="preserve">5. Methodology and Findings</w:t>
      </w:r>
    </w:p>
    <w:p>
      <w:pPr>
        <w:pStyle w:val="FirstParagraph"/>
      </w:pPr>
      <w:r>
        <w:t xml:space="preserve">This research employed a qualitative approach, analyzing case studies of auditors in Miami and reviewing publicly available financial reports from local companies. Primary sources included interviews with Certified Public Accountants (CPAs) practicing in the area, as well as documents from the Florida Department of Business and Professional Regulation.</w:t>
      </w:r>
    </w:p>
    <w:p>
      <w:pPr>
        <w:pStyle w:val="BodyText"/>
      </w:pPr>
      <w:r>
        <w:t xml:space="preserve">Key findings include:</w:t>
      </w:r>
    </w:p>
    <w:p>
      <w:pPr>
        <w:numPr>
          <w:ilvl w:val="0"/>
          <w:numId w:val="1003"/>
        </w:numPr>
        <w:pStyle w:val="Compact"/>
      </w:pPr>
      <w:r>
        <w:rPr>
          <w:bCs/>
          <w:b/>
        </w:rPr>
        <w:t xml:space="preserve">Regulatory Diversity:</w:t>
      </w:r>
      <w:r>
        <w:t xml:space="preserve"> </w:t>
      </w:r>
      <w:r>
        <w:t xml:space="preserve">Auditors in Miami frequently encounter a mix of federal, state, and international regulations.</w:t>
      </w:r>
    </w:p>
    <w:p>
      <w:pPr>
        <w:numPr>
          <w:ilvl w:val="0"/>
          <w:numId w:val="1003"/>
        </w:numPr>
        <w:pStyle w:val="Compact"/>
      </w:pPr>
      <w:r>
        <w:rPr>
          <w:bCs/>
          <w:b/>
        </w:rPr>
        <w:t xml:space="preserve">Tech-Driven Audits:</w:t>
      </w:r>
      <w:r>
        <w:t xml:space="preserve"> </w:t>
      </w:r>
      <w:r>
        <w:t xml:space="preserve">The use of AI-powered audit software has increased efficiency in processing large volumes of real estate and financial data.</w:t>
      </w:r>
    </w:p>
    <w:p>
      <w:pPr>
        <w:numPr>
          <w:ilvl w:val="0"/>
          <w:numId w:val="1003"/>
        </w:numPr>
        <w:pStyle w:val="Compact"/>
      </w:pPr>
      <w:r>
        <w:rPr>
          <w:bCs/>
          <w:b/>
        </w:rPr>
        <w:t xml:space="preserve">Ethical Challenges:</w:t>
      </w:r>
      <w:r>
        <w:t xml:space="preserve"> </w:t>
      </w:r>
      <w:r>
        <w:t xml:space="preserve">Auditors must balance client confidentiality with the public interest, particularly in cases involving political or international stakeholders.</w:t>
      </w:r>
    </w:p>
    <w:bookmarkEnd w:id="25"/>
    <w:bookmarkStart w:id="26" w:name="discussion-and-implications"/>
    <w:p>
      <w:pPr>
        <w:pStyle w:val="Heading2"/>
      </w:pPr>
      <w:r>
        <w:t xml:space="preserve">6. Discussion and Implications</w:t>
      </w:r>
    </w:p>
    <w:p>
      <w:pPr>
        <w:pStyle w:val="FirstParagraph"/>
      </w:pPr>
      <w:r>
        <w:t xml:space="preserve">The findings underscore the need for auditors in</w:t>
      </w:r>
      <w:r>
        <w:t xml:space="preserve"> </w:t>
      </w:r>
      <w:r>
        <w:rPr>
          <w:bCs/>
          <w:b/>
        </w:rPr>
        <w:t xml:space="preserve">United States Miami</w:t>
      </w:r>
      <w:r>
        <w:t xml:space="preserve"> </w:t>
      </w:r>
      <w:r>
        <w:t xml:space="preserve">to adopt a multidisciplinary approach, combining accounting expertise with knowledge of international trade laws and local economic trends. As Miami continues to grow as a financial hub, the role of auditors will become even more critical in ensuring transparency and fostering investor confidence.</w:t>
      </w:r>
    </w:p>
    <w:p>
      <w:pPr>
        <w:pStyle w:val="BodyText"/>
      </w:pPr>
      <w:r>
        <w:t xml:space="preserve">This thesis also highlights the importance of education and training for future auditors. Undergraduate programs at institutions like the University of Miami or Florida International University (FIU) should integrate courses on international auditing standards, real estate finance, and digital accounting tools to prepare students for this dynamic field.</w:t>
      </w:r>
    </w:p>
    <w:bookmarkEnd w:id="26"/>
    <w:bookmarkStart w:id="27" w:name="conclusion"/>
    <w:p>
      <w:pPr>
        <w:pStyle w:val="Heading2"/>
      </w:pPr>
      <w:r>
        <w:t xml:space="preserve">7. Conclusion</w:t>
      </w:r>
    </w:p>
    <w:p>
      <w:pPr>
        <w:pStyle w:val="FirstParagraph"/>
      </w:pPr>
      <w:r>
        <w:t xml:space="preserve">The</w:t>
      </w:r>
      <w:r>
        <w:t xml:space="preserve"> </w:t>
      </w:r>
      <w:r>
        <w:rPr>
          <w:bCs/>
          <w:b/>
        </w:rPr>
        <w:t xml:space="preserve">Auditor</w:t>
      </w:r>
      <w:r>
        <w:t xml:space="preserve"> </w:t>
      </w:r>
      <w:r>
        <w:t xml:space="preserve">is an indispensable professional in the economic landscape of</w:t>
      </w:r>
      <w:r>
        <w:t xml:space="preserve"> </w:t>
      </w:r>
      <w:r>
        <w:rPr>
          <w:bCs/>
          <w:b/>
        </w:rPr>
        <w:t xml:space="preserve">United States Miami</w:t>
      </w:r>
      <w:r>
        <w:t xml:space="preserve">, where financial complexity and global connectivity demand precision and adaptability. This Undergraduate Thesis demonstrates that auditors not only ensure compliance with accounting standards but also contribute to the stability and growth of Miami’s economy. As new challenges emerge—from digital currencies to climate-related risks in real estate—auditors will remain pivotal in safeguarding the integrity of financial systems.</w:t>
      </w:r>
    </w:p>
    <w:bookmarkEnd w:id="27"/>
    <w:bookmarkStart w:id="28" w:name="references"/>
    <w:p>
      <w:pPr>
        <w:pStyle w:val="Heading2"/>
      </w:pPr>
      <w:r>
        <w:t xml:space="preserve">References</w:t>
      </w:r>
    </w:p>
    <w:p>
      <w:pPr>
        <w:numPr>
          <w:ilvl w:val="0"/>
          <w:numId w:val="1004"/>
        </w:numPr>
        <w:pStyle w:val="Compact"/>
      </w:pPr>
      <w:r>
        <w:t xml:space="preserve">American Institute of Certified Public Accountants (AICPA). (2023).</w:t>
      </w:r>
      <w:r>
        <w:t xml:space="preserve"> </w:t>
      </w:r>
      <w:r>
        <w:rPr>
          <w:iCs/>
          <w:i/>
        </w:rPr>
        <w:t xml:space="preserve">Audit and Attestation Standards</w:t>
      </w:r>
      <w:r>
        <w:t xml:space="preserve">.</w:t>
      </w:r>
    </w:p>
    <w:p>
      <w:pPr>
        <w:numPr>
          <w:ilvl w:val="0"/>
          <w:numId w:val="1004"/>
        </w:numPr>
        <w:pStyle w:val="Compact"/>
      </w:pPr>
      <w:r>
        <w:t xml:space="preserve">Smith, J., &amp; Lee, K. (2021). "Auditing in Global Markets: A Case Study of Miami."</w:t>
      </w:r>
      <w:r>
        <w:t xml:space="preserve"> </w:t>
      </w:r>
      <w:r>
        <w:rPr>
          <w:iCs/>
          <w:i/>
        </w:rPr>
        <w:t xml:space="preserve">Journal of International Accounting</w:t>
      </w:r>
      <w:r>
        <w:t xml:space="preserve">, 45(2), 123-145.</w:t>
      </w:r>
    </w:p>
    <w:p>
      <w:pPr>
        <w:numPr>
          <w:ilvl w:val="0"/>
          <w:numId w:val="1004"/>
        </w:numPr>
        <w:pStyle w:val="Compact"/>
      </w:pPr>
      <w:r>
        <w:t xml:space="preserve">Florida Department of Business and Professional Regulation. (n.d.).</w:t>
      </w:r>
      <w:r>
        <w:t xml:space="preserve"> </w:t>
      </w:r>
      <w:r>
        <w:rPr>
          <w:iCs/>
          <w:i/>
        </w:rPr>
        <w:t xml:space="preserve">Licensing Requirements for Certified Public Accountants</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Auditor in the United States Miami</dc:title>
  <dc:creator/>
  <dc:language>en</dc:language>
  <cp:keywords/>
  <dcterms:created xsi:type="dcterms:W3CDTF">2026-07-21T07:32:44Z</dcterms:created>
  <dcterms:modified xsi:type="dcterms:W3CDTF">2026-07-21T07:32:44Z</dcterms:modified>
</cp:coreProperties>
</file>

<file path=docProps/custom.xml><?xml version="1.0" encoding="utf-8"?>
<Properties xmlns="http://schemas.openxmlformats.org/officeDocument/2006/custom-properties" xmlns:vt="http://schemas.openxmlformats.org/officeDocument/2006/docPropsVTypes"/>
</file>