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9" w:name="X5cee8a10893edbc330b40569823583a342a253c"/>
    <w:p>
      <w:pPr>
        <w:pStyle w:val="Heading1"/>
      </w:pPr>
      <w:r>
        <w:t xml:space="preserve">Undergraduate Thesis: The Role of a Banker in Buenos Aires, Argentina</w:t>
      </w:r>
    </w:p>
    <w:bookmarkStart w:id="20" w:name="abstract"/>
    <w:p>
      <w:pPr>
        <w:pStyle w:val="Heading2"/>
      </w:pPr>
      <w:r>
        <w:t xml:space="preserve">Abstract</w:t>
      </w:r>
    </w:p>
    <w:p>
      <w:pPr>
        <w:pStyle w:val="FirstParagraph"/>
      </w:pPr>
      <w:r>
        <w:t xml:space="preserve">This undergraduate thesis explores the critical role of a banker within the dynamic financial landscape of Buenos Aires, Argentina. Focusing on the economic, cultural, and regulatory frameworks that shape banking practices in this major metropolitan hub, the document examines how bankers navigate challenges such as inflationary pressures, currency fluctuations (notably tied to the Argentine peso), and evolving technological trends. By analyzing local case studies and institutional policies, this work highlights the adaptability and resilience required of modern bankers in Buenos Aires to contribute effectively to Argentina’s financial stability.</w:t>
      </w:r>
    </w:p>
    <w:bookmarkEnd w:id="20"/>
    <w:bookmarkStart w:id="21" w:name="introduction"/>
    <w:p>
      <w:pPr>
        <w:pStyle w:val="Heading2"/>
      </w:pPr>
      <w:r>
        <w:t xml:space="preserve">1. Introduction</w:t>
      </w:r>
    </w:p>
    <w:p>
      <w:pPr>
        <w:pStyle w:val="FirstParagraph"/>
      </w:pPr>
      <w:r>
        <w:t xml:space="preserve">Buenos Aires, as Argentina’s capital and economic heartland, has long been a nexus for financial innovation and challenge. The role of a banker here is not merely transactional but deeply intertwined with the nation’s socio-economic dynamics. From managing foreign exchange risks to adhering to strict regulations set by the Central Bank of Argentina (BCRA), bankers in Buenos Aires face unique demands. This thesis investigates how these professionals balance compliance, client needs, and economic volatility while fostering growth in a region marked by both opportunity and instability.</w:t>
      </w:r>
    </w:p>
    <w:bookmarkEnd w:id="21"/>
    <w:bookmarkStart w:id="22" w:name="the-economic-context-of-buenos-aires"/>
    <w:p>
      <w:pPr>
        <w:pStyle w:val="Heading2"/>
      </w:pPr>
      <w:r>
        <w:t xml:space="preserve">2. The Economic Context of Buenos Aires</w:t>
      </w:r>
    </w:p>
    <w:p>
      <w:pPr>
        <w:pStyle w:val="FirstParagraph"/>
      </w:pPr>
      <w:r>
        <w:t xml:space="preserve">Buenos Aires hosts approximately 17% of Argentina’s population yet contributes over 50% of the nation’s GDP (INDEC, 2023). Its financial sector is dominated by major institutions like Banco Santander Río, HSBC Argentina, and Banco Hipotecario. The city’s proximity to international trade routes and its status as a hub for multinational corporations create a complex environment where bankers must reconcile local priorities with global standards.</w:t>
      </w:r>
    </w:p>
    <w:p>
      <w:pPr>
        <w:pStyle w:val="BodyText"/>
      </w:pPr>
      <w:r>
        <w:t xml:space="preserve">Key challenges include hyperinflation (which peaked at 148% annually in 2023), currency controls, and the legacy of economic crises. These factors demand that bankers prioritize risk management and client education, ensuring transparency in a market where trust is often fragile. For instance, the 2018–2019 debt default and subsequent austerity measures required rapid adaptation by financial professionals to recalibrate lending practices and currency strategies.</w:t>
      </w:r>
    </w:p>
    <w:bookmarkEnd w:id="22"/>
    <w:bookmarkStart w:id="23" w:name="Xded0a961c35db9d4ea60fd3863e07d075d6b645"/>
    <w:p>
      <w:pPr>
        <w:pStyle w:val="Heading2"/>
      </w:pPr>
      <w:r>
        <w:t xml:space="preserve">3. The Modern Banker: Skills and Responsibilities</w:t>
      </w:r>
    </w:p>
    <w:p>
      <w:pPr>
        <w:pStyle w:val="FirstParagraph"/>
      </w:pPr>
      <w:r>
        <w:t xml:space="preserve">In Buenos Aires, a banker’s role extends beyond traditional lending and savings. Today’s professionals must excel in digital transformation, regulatory compliance (e.g., anti-money laundering laws under the BCRA), and cross-border transactions. For example, the rise of fintech startups like Mercado Pago and Nubank has pushed traditional banks to innovate, offering mobile banking solutions tailored to Argentina’s tech-savvy population.</w:t>
      </w:r>
    </w:p>
    <w:p>
      <w:pPr>
        <w:pStyle w:val="BodyText"/>
      </w:pPr>
      <w:r>
        <w:t xml:space="preserve">Cultural competence is also vital. Bankers must navigate a clientele diverse in socio-economic background, from small business owners reliant on informal credit networks to multinational investors seeking stable returns. This diversity necessitates a nuanced understanding of local customs and financial behaviors, such as the prevalence of cash transactions due to historical distrust in digital systems.</w:t>
      </w:r>
    </w:p>
    <w:bookmarkEnd w:id="23"/>
    <w:bookmarkStart w:id="24" w:name="regulatory-and-ethical-considerations"/>
    <w:p>
      <w:pPr>
        <w:pStyle w:val="Heading2"/>
      </w:pPr>
      <w:r>
        <w:t xml:space="preserve">4. Regulatory and Ethical Considerations</w:t>
      </w:r>
    </w:p>
    <w:p>
      <w:pPr>
        <w:pStyle w:val="FirstParagraph"/>
      </w:pPr>
      <w:r>
        <w:t xml:space="preserve">The BCRA imposes stringent regulations on banking operations in Argentina, including capital adequacy requirements and restrictions on foreign currency access. These rules aim to prevent capital flight and stabilize the peso but also complicate operations for bankers. For instance, the 2023 “corralito” measures (currency controls) forced banks to prioritize transactions that align with national economic goals, often at the expense of client convenience.</w:t>
      </w:r>
    </w:p>
    <w:p>
      <w:pPr>
        <w:pStyle w:val="BodyText"/>
      </w:pPr>
      <w:r>
        <w:t xml:space="preserve">Ethically, bankers in Buenos Aires must balance profitability with social responsibility. Initiatives like microloans for small enterprises or financial literacy programs for underserved communities are increasingly seen as essential components of a banker’s role. Institutions like Banco Nación have pioneered such efforts, blending commercial objectives with public service.</w:t>
      </w:r>
    </w:p>
    <w:bookmarkEnd w:id="24"/>
    <w:bookmarkStart w:id="25" w:name="case-studies-and-local-insights"/>
    <w:p>
      <w:pPr>
        <w:pStyle w:val="Heading2"/>
      </w:pPr>
      <w:r>
        <w:t xml:space="preserve">5. Case Studies and Local Insights</w:t>
      </w:r>
    </w:p>
    <w:p>
      <w:pPr>
        <w:pStyle w:val="FirstParagraph"/>
      </w:pPr>
      <w:r>
        <w:rPr>
          <w:bCs/>
          <w:b/>
        </w:rPr>
        <w:t xml:space="preserve">Case Study 1: Currency Controls and Client Relations</w:t>
      </w:r>
      <w:r>
        <w:br/>
      </w:r>
      <w:r>
        <w:t xml:space="preserve">During the 2023 currency crisis, a mid-sized bank in Buenos Aires faced a surge in demand for USD-denominated deposits. Bankers had to navigate BCRA restrictions while maintaining client trust, using transparent communication and alternative solutions (e.g., hedging instruments) to manage expectations.</w:t>
      </w:r>
    </w:p>
    <w:p>
      <w:pPr>
        <w:pStyle w:val="BodyText"/>
      </w:pPr>
      <w:r>
        <w:rPr>
          <w:bCs/>
          <w:b/>
        </w:rPr>
        <w:t xml:space="preserve">Case Study 2: Digital Transformation</w:t>
      </w:r>
      <w:r>
        <w:br/>
      </w:r>
      <w:r>
        <w:t xml:space="preserve">Banco Galicia’s investment in AI-driven customer service platforms reduced wait times by 40% and improved user satisfaction. This case underscores the importance of technology adoption in maintaining competitiveness, even as traditional banking practices persist.</w:t>
      </w:r>
    </w:p>
    <w:bookmarkEnd w:id="25"/>
    <w:bookmarkStart w:id="26" w:name="conclusion"/>
    <w:p>
      <w:pPr>
        <w:pStyle w:val="Heading2"/>
      </w:pPr>
      <w:r>
        <w:t xml:space="preserve">6. Conclusion</w:t>
      </w:r>
    </w:p>
    <w:p>
      <w:pPr>
        <w:pStyle w:val="FirstParagraph"/>
      </w:pPr>
      <w:r>
        <w:t xml:space="preserve">The role of a banker in Buenos Aires, Argentina, is both challenging and transformative. Amidst economic volatility and rapid technological change, these professionals serve as bridges between institutional rigor and community needs. Their ability to adapt to regulatory shifts, leverage innovation, and uphold ethical standards will be pivotal for Argentina’s financial future. As Buenos Aires continues to evolve as a global city, the banker’s role remains central to its economic narrative.</w:t>
      </w:r>
    </w:p>
    <w:bookmarkEnd w:id="26"/>
    <w:bookmarkStart w:id="27" w:name="references"/>
    <w:p>
      <w:pPr>
        <w:pStyle w:val="Heading2"/>
      </w:pPr>
      <w:r>
        <w:t xml:space="preserve">References</w:t>
      </w:r>
    </w:p>
    <w:p>
      <w:pPr>
        <w:numPr>
          <w:ilvl w:val="0"/>
          <w:numId w:val="1001"/>
        </w:numPr>
        <w:pStyle w:val="Compact"/>
      </w:pPr>
      <w:r>
        <w:t xml:space="preserve">INDEC (2023). "Argentina Statistical Yearbook." National Institute of Statistics and Census.</w:t>
      </w:r>
    </w:p>
    <w:p>
      <w:pPr>
        <w:numPr>
          <w:ilvl w:val="0"/>
          <w:numId w:val="1001"/>
        </w:numPr>
        <w:pStyle w:val="Compact"/>
      </w:pPr>
      <w:r>
        <w:t xml:space="preserve">Central Bank of Argentina (BCRA). "Regulatory Framework for Banking Institutions, 2023."</w:t>
      </w:r>
    </w:p>
    <w:p>
      <w:pPr>
        <w:numPr>
          <w:ilvl w:val="0"/>
          <w:numId w:val="1001"/>
        </w:numPr>
        <w:pStyle w:val="Compact"/>
      </w:pPr>
      <w:r>
        <w:t xml:space="preserve">Banco Nación Argentina. "Social Impact Initiatives Report, 2023."</w:t>
      </w:r>
    </w:p>
    <w:bookmarkEnd w:id="27"/>
    <w:bookmarkStart w:id="28" w:name="appendices"/>
    <w:p>
      <w:pPr>
        <w:pStyle w:val="Heading2"/>
      </w:pPr>
      <w:r>
        <w:t xml:space="preserve">Appendices</w:t>
      </w:r>
    </w:p>
    <w:p>
      <w:pPr>
        <w:pStyle w:val="FirstParagraph"/>
      </w:pPr>
      <w:r>
        <w:rPr>
          <w:iCs/>
          <w:i/>
        </w:rPr>
        <w:t xml:space="preserve">(Optional: Include charts on inflation trends or tables comparing banking sector performance in Buenos Aires vs. other regions.)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Buenos Aires, Argentina</dc:title>
  <dc:creator/>
  <dc:language>en</dc:language>
  <cp:keywords/>
  <dcterms:created xsi:type="dcterms:W3CDTF">2026-07-21T10:46:59Z</dcterms:created>
  <dcterms:modified xsi:type="dcterms:W3CDTF">2026-07-21T10:46:59Z</dcterms:modified>
</cp:coreProperties>
</file>

<file path=docProps/custom.xml><?xml version="1.0" encoding="utf-8"?>
<Properties xmlns="http://schemas.openxmlformats.org/officeDocument/2006/custom-properties" xmlns:vt="http://schemas.openxmlformats.org/officeDocument/2006/docPropsVTypes"/>
</file>