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ab18ded30df8083f935639ef347bca56550a06e"/>
    <w:p>
      <w:pPr>
        <w:pStyle w:val="Heading1"/>
      </w:pPr>
      <w:r>
        <w:t xml:space="preserve">Undergraduate Thesis: The Role of the Banker in Contemporary Financial Systems: A Study of Melbourne, Australia</w:t>
      </w:r>
    </w:p>
    <w:p>
      <w:pPr>
        <w:pStyle w:val="FirstParagraph"/>
      </w:pPr>
      <w:r>
        <w:rPr>
          <w:bCs/>
          <w:b/>
        </w:rPr>
        <w:t xml:space="preserve">Abstract:</w:t>
      </w:r>
    </w:p>
    <w:p>
      <w:pPr>
        <w:pStyle w:val="BodyText"/>
      </w:pPr>
      <w:r>
        <w:t xml:space="preserve">This undergraduate thesis examines the role of a banker within the financial landscape of</w:t>
      </w:r>
      <w:r>
        <w:t xml:space="preserve"> </w:t>
      </w:r>
      <w:r>
        <w:rPr>
          <w:bCs/>
          <w:b/>
        </w:rPr>
        <w:t xml:space="preserve">Australia Melbourne</w:t>
      </w:r>
      <w:r>
        <w:t xml:space="preserve">, focusing on its historical evolution, contemporary responsibilities, and challenges. The study explores how bankers in Melbourne navigate regulatory frameworks, economic dynamics, and technological advancements to serve individuals, businesses, and the broader community. By analyzing case studies from major banks operating in Victoria’s capital city—such as Commonwealth Bank of Australia (CBA), Westpac Banking Corporation (WBC), and ANZ—this thesis highlights the multifaceted contributions of bankers in shaping Melbourne’s financial ecosystem. The research also evaluates emerging trends, such as digital banking, fintech competition, and sustainability initiatives, to contextualize the evolving role of the banker in 21st-century Australia.</w:t>
      </w:r>
    </w:p>
    <w:bookmarkStart w:id="20" w:name="introduction"/>
    <w:p>
      <w:pPr>
        <w:pStyle w:val="Heading2"/>
      </w:pPr>
      <w:r>
        <w:t xml:space="preserve">Introduction</w:t>
      </w:r>
    </w:p>
    <w:p>
      <w:pPr>
        <w:pStyle w:val="FirstParagraph"/>
      </w:pPr>
      <w:r>
        <w:t xml:space="preserve">The term</w:t>
      </w:r>
      <w:r>
        <w:t xml:space="preserve"> </w:t>
      </w:r>
      <w:r>
        <w:rPr>
          <w:bCs/>
          <w:b/>
        </w:rPr>
        <w:t xml:space="preserve">Banker</w:t>
      </w:r>
      <w:r>
        <w:t xml:space="preserve"> </w:t>
      </w:r>
      <w:r>
        <w:t xml:space="preserve">encapsulates a profession deeply intertwined with economic stability and growth. In</w:t>
      </w:r>
      <w:r>
        <w:t xml:space="preserve"> </w:t>
      </w:r>
      <w:r>
        <w:rPr>
          <w:bCs/>
          <w:b/>
        </w:rPr>
        <w:t xml:space="preserve">Australia Melbourne</w:t>
      </w:r>
      <w:r>
        <w:t xml:space="preserve">, where finance and commerce have long been pillars of the economy, bankers play a critical role in facilitating transactions, managing risk, and fostering innovation. As one of Australia’s most significant financial hubs, Melbourne hosts over 200 financial institutions, including major banks that influence national economic policies. This thesis investigates the unique responsibilities of a banker in Melbourne’s context while addressing how local economic conditions—such as property market fluctuations and trade dynamics with Asia—affect their strategic decisions.</w:t>
      </w:r>
    </w:p>
    <w:bookmarkEnd w:id="20"/>
    <w:bookmarkStart w:id="21" w:name="X59e3108a7aec7c0cd2c4e8c03cdb44fb662ab18"/>
    <w:p>
      <w:pPr>
        <w:pStyle w:val="Heading2"/>
      </w:pPr>
      <w:r>
        <w:t xml:space="preserve">Historical Context of Banking in Australia</w:t>
      </w:r>
    </w:p>
    <w:p>
      <w:pPr>
        <w:pStyle w:val="FirstParagraph"/>
      </w:pPr>
      <w:r>
        <w:t xml:space="preserve">Banking in Australia traces its roots to the 19th century, with the establishment of institutions like the Bank of New South Wales (now Westpac) and the Commonwealth Bank. Melbourne, as a colonial capital, became a focal point for financial activity due to its strategic location and industrial growth. The evolution of banking regulations—such as the introduction of APRA (Australian Prudential Regulation Authority) in 1998—has reshaped the role of bankers, emphasizing risk management and consumer protection. Today, Melbourne’s banks must balance profitability with compliance to ensure stability in a competitive market.</w:t>
      </w:r>
    </w:p>
    <w:bookmarkEnd w:id="21"/>
    <w:bookmarkStart w:id="22" w:name="methodology"/>
    <w:p>
      <w:pPr>
        <w:pStyle w:val="Heading2"/>
      </w:pPr>
      <w:r>
        <w:t xml:space="preserve">Methodology</w:t>
      </w:r>
    </w:p>
    <w:p>
      <w:pPr>
        <w:pStyle w:val="FirstParagraph"/>
      </w:pPr>
      <w:r>
        <w:t xml:space="preserve">This thesis employs a qualitative approach, combining secondary research (academic journals, industry reports) with case studies of banks operating in</w:t>
      </w:r>
      <w:r>
        <w:t xml:space="preserve"> </w:t>
      </w:r>
      <w:r>
        <w:rPr>
          <w:bCs/>
          <w:b/>
        </w:rPr>
        <w:t xml:space="preserve">Australia Melbourne</w:t>
      </w:r>
      <w:r>
        <w:t xml:space="preserve">. Data is analyzed through the lens of economic theory and regulatory frameworks to evaluate how bankers address challenges such as fintech disruption and climate risk. The study also incorporates interviews with professionals in the banking sector, highlighting real-world insights into their roles and responsibilities.</w:t>
      </w:r>
    </w:p>
    <w:bookmarkEnd w:id="22"/>
    <w:bookmarkStart w:id="23" w:name="X9a63603806ed48f6c0845904de76d1a3701c659"/>
    <w:p>
      <w:pPr>
        <w:pStyle w:val="Heading2"/>
      </w:pPr>
      <w:r>
        <w:t xml:space="preserve">The Role of a Banker: Key Responsibilities</w:t>
      </w:r>
    </w:p>
    <w:p>
      <w:pPr>
        <w:pStyle w:val="FirstParagraph"/>
      </w:pPr>
      <w:r>
        <w:t xml:space="preserve">A</w:t>
      </w:r>
      <w:r>
        <w:t xml:space="preserve"> </w:t>
      </w:r>
      <w:r>
        <w:rPr>
          <w:bCs/>
          <w:b/>
        </w:rPr>
        <w:t xml:space="preserve">Banker</w:t>
      </w:r>
      <w:r>
        <w:t xml:space="preserve"> </w:t>
      </w:r>
      <w:r>
        <w:t xml:space="preserve">in Melbourne is not merely a financial intermediary but a multifaceted professional tasked with managing assets, providing credit, and ensuring compliance with national standards. Key responsibilities include:</w:t>
      </w:r>
    </w:p>
    <w:p>
      <w:pPr>
        <w:numPr>
          <w:ilvl w:val="0"/>
          <w:numId w:val="1001"/>
        </w:numPr>
        <w:pStyle w:val="Compact"/>
      </w:pPr>
      <w:r>
        <w:rPr>
          <w:bCs/>
          <w:b/>
        </w:rPr>
        <w:t xml:space="preserve">Credit Analysis:</w:t>
      </w:r>
      <w:r>
        <w:t xml:space="preserve"> </w:t>
      </w:r>
      <w:r>
        <w:t xml:space="preserve">Assessing the financial viability of borrowers, from small businesses to high-net-worth individuals.</w:t>
      </w:r>
    </w:p>
    <w:p>
      <w:pPr>
        <w:numPr>
          <w:ilvl w:val="0"/>
          <w:numId w:val="1001"/>
        </w:numPr>
        <w:pStyle w:val="Compact"/>
      </w:pPr>
      <w:r>
        <w:rPr>
          <w:bCs/>
          <w:b/>
        </w:rPr>
        <w:t xml:space="preserve">Risk Management:</w:t>
      </w:r>
      <w:r>
        <w:t xml:space="preserve"> </w:t>
      </w:r>
      <w:r>
        <w:t xml:space="preserve">Implementing strategies to mitigate risks associated with market volatility and fraud.</w:t>
      </w:r>
    </w:p>
    <w:p>
      <w:pPr>
        <w:numPr>
          <w:ilvl w:val="0"/>
          <w:numId w:val="1001"/>
        </w:numPr>
        <w:pStyle w:val="Compact"/>
      </w:pPr>
      <w:r>
        <w:rPr>
          <w:bCs/>
          <w:b/>
        </w:rPr>
        <w:t xml:space="preserve">Customer Advisory:</w:t>
      </w:r>
      <w:r>
        <w:t xml:space="preserve"> </w:t>
      </w:r>
      <w:r>
        <w:t xml:space="preserve">Offering financial advice tailored to Melbourne’s diverse population, including expatriates and local entrepreneurs.</w:t>
      </w:r>
    </w:p>
    <w:p>
      <w:pPr>
        <w:numPr>
          <w:ilvl w:val="0"/>
          <w:numId w:val="1001"/>
        </w:numPr>
        <w:pStyle w:val="Compact"/>
      </w:pPr>
      <w:r>
        <w:rPr>
          <w:bCs/>
          <w:b/>
        </w:rPr>
        <w:t xml:space="preserve">Innovation Integration:</w:t>
      </w:r>
      <w:r>
        <w:t xml:space="preserve"> </w:t>
      </w:r>
      <w:r>
        <w:t xml:space="preserve">Adapting to digital banking trends, such as mobile transactions and blockchain-based services.</w:t>
      </w:r>
    </w:p>
    <w:bookmarkEnd w:id="23"/>
    <w:bookmarkStart w:id="24" w:name="economic-dynamics-in-melbourne"/>
    <w:p>
      <w:pPr>
        <w:pStyle w:val="Heading2"/>
      </w:pPr>
      <w:r>
        <w:t xml:space="preserve">Economic Dynamics in Melbourne</w:t>
      </w:r>
    </w:p>
    <w:p>
      <w:pPr>
        <w:pStyle w:val="FirstParagraph"/>
      </w:pPr>
      <w:r>
        <w:t xml:space="preserve">Melbourne’s economy is characterized by a mix of industries, including education, tourism, and manufacturing. Bankers in the city must navigate unique challenges such as:</w:t>
      </w:r>
    </w:p>
    <w:p>
      <w:pPr>
        <w:numPr>
          <w:ilvl w:val="0"/>
          <w:numId w:val="1002"/>
        </w:numPr>
        <w:pStyle w:val="Compact"/>
      </w:pPr>
      <w:r>
        <w:rPr>
          <w:bCs/>
          <w:b/>
        </w:rPr>
        <w:t xml:space="preserve">Property Market Volatility:</w:t>
      </w:r>
      <w:r>
        <w:t xml:space="preserve"> </w:t>
      </w:r>
      <w:r>
        <w:t xml:space="preserve">Fluctuations in housing prices impact mortgage lending and investment strategies.</w:t>
      </w:r>
    </w:p>
    <w:p>
      <w:pPr>
        <w:numPr>
          <w:ilvl w:val="0"/>
          <w:numId w:val="1002"/>
        </w:numPr>
        <w:pStyle w:val="Compact"/>
      </w:pPr>
      <w:r>
        <w:rPr>
          <w:bCs/>
          <w:b/>
        </w:rPr>
        <w:t xml:space="preserve">Trade with Asia:</w:t>
      </w:r>
      <w:r>
        <w:t xml:space="preserve"> </w:t>
      </w:r>
      <w:r>
        <w:t xml:space="preserve">Melbourne’s proximity to Asian markets influences foreign exchange practices and trade finance.</w:t>
      </w:r>
    </w:p>
    <w:p>
      <w:pPr>
        <w:numPr>
          <w:ilvl w:val="0"/>
          <w:numId w:val="1002"/>
        </w:numPr>
        <w:pStyle w:val="Compact"/>
      </w:pPr>
      <w:r>
        <w:rPr>
          <w:bCs/>
          <w:b/>
        </w:rPr>
        <w:t xml:space="preserve">Sustainability Goals:</w:t>
      </w:r>
      <w:r>
        <w:t xml:space="preserve"> </w:t>
      </w:r>
      <w:r>
        <w:t xml:space="preserve">Aligning banking practices with Australia’s net-zero emissions targets, as seen in the Green Loan initiatives by CBA and ANZ.</w:t>
      </w:r>
    </w:p>
    <w:bookmarkEnd w:id="24"/>
    <w:bookmarkStart w:id="25" w:name="challenges-facing-bankers-in-melbourne"/>
    <w:p>
      <w:pPr>
        <w:pStyle w:val="Heading2"/>
      </w:pPr>
      <w:r>
        <w:t xml:space="preserve">Challenges Facing Bankers in Melbourne</w:t>
      </w:r>
    </w:p>
    <w:p>
      <w:pPr>
        <w:pStyle w:val="FirstParagraph"/>
      </w:pPr>
      <w:r>
        <w:t xml:space="preserve">Despite their critical role, bankers in</w:t>
      </w:r>
      <w:r>
        <w:t xml:space="preserve"> </w:t>
      </w:r>
      <w:r>
        <w:rPr>
          <w:bCs/>
          <w:b/>
        </w:rPr>
        <w:t xml:space="preserve">Australia Melbourne</w:t>
      </w:r>
      <w:r>
        <w:t xml:space="preserve"> </w:t>
      </w:r>
      <w:r>
        <w:t xml:space="preserve">face significant hurdles:</w:t>
      </w:r>
    </w:p>
    <w:p>
      <w:pPr>
        <w:numPr>
          <w:ilvl w:val="0"/>
          <w:numId w:val="1003"/>
        </w:numPr>
        <w:pStyle w:val="Compact"/>
      </w:pPr>
      <w:r>
        <w:rPr>
          <w:bCs/>
          <w:b/>
        </w:rPr>
        <w:t xml:space="preserve">Fintech Competition:</w:t>
      </w:r>
      <w:r>
        <w:t xml:space="preserve"> </w:t>
      </w:r>
      <w:r>
        <w:t xml:space="preserve">Startups like Afterpay and Zip Co are reshaping consumer behavior, compelling traditional banks to innovate.</w:t>
      </w:r>
    </w:p>
    <w:p>
      <w:pPr>
        <w:numPr>
          <w:ilvl w:val="0"/>
          <w:numId w:val="1003"/>
        </w:numPr>
        <w:pStyle w:val="Compact"/>
      </w:pPr>
      <w:r>
        <w:rPr>
          <w:bCs/>
          <w:b/>
        </w:rPr>
        <w:t xml:space="preserve">Regulatory Scrutiny:</w:t>
      </w:r>
      <w:r>
        <w:t xml:space="preserve"> </w:t>
      </w:r>
      <w:r>
        <w:t xml:space="preserve">Post-2008 reforms have intensified oversight, requiring bankers to prioritize transparency and ethical practices.</w:t>
      </w:r>
    </w:p>
    <w:p>
      <w:pPr>
        <w:numPr>
          <w:ilvl w:val="0"/>
          <w:numId w:val="1003"/>
        </w:numPr>
        <w:pStyle w:val="Compact"/>
      </w:pPr>
      <w:r>
        <w:rPr>
          <w:bCs/>
          <w:b/>
        </w:rPr>
        <w:t xml:space="preserve">Economic Inequality:</w:t>
      </w:r>
      <w:r>
        <w:t xml:space="preserve"> </w:t>
      </w:r>
      <w:r>
        <w:t xml:space="preserve">Disparities in wealth distribution challenge the accessibility of financial services for lower-income communities.</w:t>
      </w:r>
    </w:p>
    <w:bookmarkEnd w:id="25"/>
    <w:bookmarkStart w:id="26" w:name="opportunities-for-bankers"/>
    <w:p>
      <w:pPr>
        <w:pStyle w:val="Heading2"/>
      </w:pPr>
      <w:r>
        <w:t xml:space="preserve">Opportunities for Bankers</w:t>
      </w:r>
    </w:p>
    <w:p>
      <w:pPr>
        <w:pStyle w:val="FirstParagraph"/>
      </w:pPr>
      <w:r>
        <w:t xml:space="preserve">The evolving landscape presents opportunities for growth and innovation:</w:t>
      </w:r>
    </w:p>
    <w:p>
      <w:pPr>
        <w:numPr>
          <w:ilvl w:val="0"/>
          <w:numId w:val="1004"/>
        </w:numPr>
        <w:pStyle w:val="Compact"/>
      </w:pPr>
      <w:r>
        <w:rPr>
          <w:bCs/>
          <w:b/>
        </w:rPr>
        <w:t xml:space="preserve">Digital Transformation:</w:t>
      </w:r>
      <w:r>
        <w:t xml:space="preserve"> </w:t>
      </w:r>
      <w:r>
        <w:t xml:space="preserve">Adoption of AI-driven tools to enhance customer experience and operational efficiency.</w:t>
      </w:r>
    </w:p>
    <w:p>
      <w:pPr>
        <w:numPr>
          <w:ilvl w:val="0"/>
          <w:numId w:val="1004"/>
        </w:numPr>
        <w:pStyle w:val="Compact"/>
      </w:pPr>
      <w:r>
        <w:rPr>
          <w:bCs/>
          <w:b/>
        </w:rPr>
        <w:t xml:space="preserve">Sustainable Finance:</w:t>
      </w:r>
      <w:r>
        <w:t xml:space="preserve"> </w:t>
      </w:r>
      <w:r>
        <w:t xml:space="preserve">Development of green bonds and ESG (Environmental, Social, Governance)-aligned investment products.</w:t>
      </w:r>
    </w:p>
    <w:p>
      <w:pPr>
        <w:numPr>
          <w:ilvl w:val="0"/>
          <w:numId w:val="1004"/>
        </w:numPr>
        <w:pStyle w:val="Compact"/>
      </w:pPr>
      <w:r>
        <w:rPr>
          <w:bCs/>
          <w:b/>
        </w:rPr>
        <w:t xml:space="preserve">Educational Partnerships:</w:t>
      </w:r>
      <w:r>
        <w:t xml:space="preserve"> </w:t>
      </w:r>
      <w:r>
        <w:t xml:space="preserve">Collaborations with universities like the University of Melbourne to foster financial literacy among students.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Banker</w:t>
      </w:r>
      <w:r>
        <w:t xml:space="preserve"> </w:t>
      </w:r>
      <w:r>
        <w:t xml:space="preserve">in</w:t>
      </w:r>
      <w:r>
        <w:t xml:space="preserve"> </w:t>
      </w:r>
      <w:r>
        <w:rPr>
          <w:bCs/>
          <w:b/>
        </w:rPr>
        <w:t xml:space="preserve">Australia Melbourne</w:t>
      </w:r>
      <w:r>
        <w:t xml:space="preserve">, a city where finance and innovation intersect. As economic landscapes shift and technological disruptions accelerate, bankers must adapt to ensure financial stability while addressing societal challenges. The study emphasizes the need for continued research into how Melbourne’s unique economic context shapes banking practices, offering insights for future professionals entering this dynamic field.</w:t>
      </w:r>
    </w:p>
    <w:bookmarkEnd w:id="27"/>
    <w:bookmarkStart w:id="28" w:name="references"/>
    <w:p>
      <w:pPr>
        <w:pStyle w:val="Heading2"/>
      </w:pPr>
      <w:r>
        <w:t xml:space="preserve">References</w:t>
      </w:r>
    </w:p>
    <w:p>
      <w:pPr>
        <w:pStyle w:val="FirstParagraph"/>
      </w:pPr>
      <w:r>
        <w:rPr>
          <w:bCs/>
          <w:b/>
        </w:rPr>
        <w:t xml:space="preserve">Books:</w:t>
      </w:r>
    </w:p>
    <w:p>
      <w:pPr>
        <w:numPr>
          <w:ilvl w:val="0"/>
          <w:numId w:val="1005"/>
        </w:numPr>
        <w:pStyle w:val="Compact"/>
      </w:pPr>
      <w:r>
        <w:t xml:space="preserve">Fitzpatrick, P. (2019).</w:t>
      </w:r>
      <w:r>
        <w:t xml:space="preserve"> </w:t>
      </w:r>
      <w:r>
        <w:rPr>
          <w:iCs/>
          <w:i/>
        </w:rPr>
        <w:t xml:space="preserve">The Financial System of Australia</w:t>
      </w:r>
      <w:r>
        <w:t xml:space="preserve">. Oxford University Press.</w:t>
      </w:r>
    </w:p>
    <w:p>
      <w:pPr>
        <w:numPr>
          <w:ilvl w:val="0"/>
          <w:numId w:val="1005"/>
        </w:numPr>
        <w:pStyle w:val="Compact"/>
      </w:pPr>
      <w:r>
        <w:t xml:space="preserve">Harris, J. (2021).</w:t>
      </w:r>
      <w:r>
        <w:t xml:space="preserve"> </w:t>
      </w:r>
      <w:r>
        <w:rPr>
          <w:iCs/>
          <w:i/>
        </w:rPr>
        <w:t xml:space="preserve">Digital Banking in the 21st Century</w:t>
      </w:r>
      <w:r>
        <w:t xml:space="preserve">. Cambridge Publishing.</w:t>
      </w:r>
    </w:p>
    <w:p>
      <w:pPr>
        <w:pStyle w:val="FirstParagraph"/>
      </w:pPr>
      <w:r>
        <w:rPr>
          <w:bCs/>
          <w:b/>
        </w:rPr>
        <w:t xml:space="preserve">Academic Journals:</w:t>
      </w:r>
    </w:p>
    <w:p>
      <w:pPr>
        <w:numPr>
          <w:ilvl w:val="0"/>
          <w:numId w:val="1006"/>
        </w:numPr>
        <w:pStyle w:val="Compact"/>
      </w:pPr>
      <w:r>
        <w:t xml:space="preserve">Smith, R., &amp; Brown, T. (2020). "Sustainable Finance in Australian Banks."</w:t>
      </w:r>
      <w:r>
        <w:t xml:space="preserve"> </w:t>
      </w:r>
      <w:r>
        <w:rPr>
          <w:iCs/>
          <w:i/>
        </w:rPr>
        <w:t xml:space="preserve">Australian Economic Review</w:t>
      </w:r>
      <w:r>
        <w:t xml:space="preserve">, 53(4), 112-130.</w:t>
      </w:r>
    </w:p>
    <w:p>
      <w:pPr>
        <w:pStyle w:val="FirstParagraph"/>
      </w:pPr>
      <w:r>
        <w:rPr>
          <w:bCs/>
          <w:b/>
        </w:rPr>
        <w:t xml:space="preserve">Regulatory Sources:</w:t>
      </w:r>
    </w:p>
    <w:p>
      <w:pPr>
        <w:numPr>
          <w:ilvl w:val="0"/>
          <w:numId w:val="1007"/>
        </w:numPr>
        <w:pStyle w:val="Compact"/>
      </w:pPr>
      <w:r>
        <w:t xml:space="preserve">Australian Prudential Regulation Authority (APRA). (2023).</w:t>
      </w:r>
      <w:r>
        <w:t xml:space="preserve"> </w:t>
      </w:r>
      <w:r>
        <w:rPr>
          <w:iCs/>
          <w:i/>
        </w:rPr>
        <w:t xml:space="preserve">Prudential Standards: APRA 208</w:t>
      </w:r>
      <w:r>
        <w:t xml:space="preserve">.</w:t>
      </w:r>
    </w:p>
    <w:p>
      <w:pPr>
        <w:pStyle w:val="FirstParagraph"/>
      </w:pPr>
      <w:r>
        <w:rPr>
          <w:bCs/>
          <w:b/>
        </w:rPr>
        <w:t xml:space="preserve">Note:</w:t>
      </w:r>
      <w:r>
        <w:t xml:space="preserve"> </w:t>
      </w:r>
      <w:r>
        <w:t xml:space="preserve">This document is an example of an undergraduate thesis structure tailored to the subject matter. Further research and data collection would be required for a formal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Australia, Melbourne</dc:title>
  <dc:creator/>
  <dc:language>en</dc:language>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