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9996cac98b6c65e22f15fff9dbc98e81e6cd04a"/>
    <w:p>
      <w:pPr>
        <w:pStyle w:val="Heading1"/>
      </w:pPr>
      <w:r>
        <w:t xml:space="preserve">The Role of a Banker in Brazil: A Case Study of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Rio de Janeiro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w:t>
      </w:r>
      <w:r>
        <w:t xml:space="preserve"> </w:t>
      </w:r>
      <w:r>
        <w:rPr>
          <w:iCs/>
          <w:i/>
        </w:rPr>
        <w:t xml:space="preserve">Banker</w:t>
      </w:r>
      <w:r>
        <w:t xml:space="preserve"> </w:t>
      </w:r>
      <w:r>
        <w:t xml:space="preserve">in the dynamic economic landscape of</w:t>
      </w:r>
      <w:r>
        <w:t xml:space="preserve"> </w:t>
      </w:r>
      <w:r>
        <w:rPr>
          <w:iCs/>
          <w:i/>
        </w:rPr>
        <w:t xml:space="preserve">Brazil, Rio de Janeiro</w:t>
      </w:r>
      <w:r>
        <w:t xml:space="preserve">. Focusing on the intersection of financial services, regional development, and socio-economic challenges, this study analyzes how bankers in Rio operate within a unique context shaped by urban inequality, tourism-driven economies, and regulatory frameworks. Through qualitative analysis and case studies of local banking institutions, this thesis argues that the role of a banker in Rio de Janeiro extends beyond traditional financial intermediation to include community engagement and sustainable development initiatives.</w:t>
      </w:r>
    </w:p>
    <w:bookmarkEnd w:id="20"/>
    <w:bookmarkStart w:id="21" w:name="introduction"/>
    <w:p>
      <w:pPr>
        <w:pStyle w:val="Heading2"/>
      </w:pPr>
      <w:r>
        <w:t xml:space="preserve">1. Introduction</w:t>
      </w:r>
    </w:p>
    <w:p>
      <w:pPr>
        <w:pStyle w:val="FirstParagraph"/>
      </w:pPr>
      <w:r>
        <w:t xml:space="preserve">Rio de Janeiro, as one of Brazil’s most iconic cities, presents a paradoxical economic environment for bankers. While it is a hub for tourism, culture, and international events like the Olympics and Carnival, it also grapples with systemic poverty, income inequality, and informal economies. This duality shapes the responsibilities of</w:t>
      </w:r>
      <w:r>
        <w:t xml:space="preserve"> </w:t>
      </w:r>
      <w:r>
        <w:rPr>
          <w:iCs/>
          <w:i/>
        </w:rPr>
        <w:t xml:space="preserve">Bankers</w:t>
      </w:r>
      <w:r>
        <w:t xml:space="preserve"> </w:t>
      </w:r>
      <w:r>
        <w:t xml:space="preserve">operating in the region. The thesis investigates how these professionals navigate challenges such as financial inclusion for marginalized communities, risk management in a volatile market, and alignment with national policies like Brazil’s “Plano Nacional de Financiamento do Ensino” (National Education Financing Plan).</w:t>
      </w:r>
    </w:p>
    <w:bookmarkEnd w:id="21"/>
    <w:bookmarkStart w:id="24" w:name="Xbe0a3793f4fed9e8d7e1c6948cdf9dd8b245233"/>
    <w:p>
      <w:pPr>
        <w:pStyle w:val="Heading2"/>
      </w:pPr>
      <w:r>
        <w:t xml:space="preserve">2. The Role of a Banker: A Global and Local Perspective</w:t>
      </w:r>
    </w:p>
    <w:p>
      <w:pPr>
        <w:pStyle w:val="FirstParagraph"/>
      </w:pPr>
      <w:r>
        <w:t xml:space="preserve">The term "</w:t>
      </w:r>
      <w:r>
        <w:rPr>
          <w:iCs/>
          <w:i/>
        </w:rPr>
        <w:t xml:space="preserve">Banker</w:t>
      </w:r>
      <w:r>
        <w:t xml:space="preserve">" traditionally refers to individuals or institutions engaged in managing deposits, granting loans, and facilitating financial transactions. However, in</w:t>
      </w:r>
      <w:r>
        <w:t xml:space="preserve"> </w:t>
      </w:r>
      <w:r>
        <w:rPr>
          <w:iCs/>
          <w:i/>
        </w:rPr>
        <w:t xml:space="preserve">Brazil Rio de Janeiro</w:t>
      </w:r>
      <w:r>
        <w:t xml:space="preserve">, the role is amplified by socio-cultural factors. For instance, bankers must address the needs of a population where over 20% live below the poverty line (</w:t>
      </w:r>
      <w:hyperlink r:id="rId22">
        <w:r>
          <w:rPr>
            <w:rStyle w:val="Hyperlink"/>
          </w:rPr>
          <w:t xml:space="preserve">IBGE, 2023</w:t>
        </w:r>
      </w:hyperlink>
      <w:r>
        <w:t xml:space="preserve">). This requires innovative approaches to credit accessibility, such as microloans for small businesses or partnerships with NGOs to promote financial literacy.</w:t>
      </w:r>
    </w:p>
    <w:p>
      <w:pPr>
        <w:pStyle w:val="BodyText"/>
      </w:pPr>
      <w:r>
        <w:t xml:space="preserve">Rio’s bankers also play a critical role in supporting the city’s tourism sector. With over 5 million annual visitors (</w:t>
      </w:r>
      <w:hyperlink r:id="rId23">
        <w:r>
          <w:rPr>
            <w:rStyle w:val="Hyperlink"/>
          </w:rPr>
          <w:t xml:space="preserve">SEMDUR, 2023</w:t>
        </w:r>
      </w:hyperlink>
      <w:r>
        <w:t xml:space="preserve">), financial institutions must cater to both international tourists and local entrepreneurs. This includes offering foreign currency exchange services, facilitating investments in real estate, and ensuring compliance with Brazil’s strict anti-money laundering (AML) laws.</w:t>
      </w:r>
    </w:p>
    <w:bookmarkEnd w:id="24"/>
    <w:bookmarkStart w:id="27" w:name="Xaf8c89deb16d57abfea8361a23963a1e84ba19a"/>
    <w:p>
      <w:pPr>
        <w:pStyle w:val="Heading2"/>
      </w:pPr>
      <w:r>
        <w:t xml:space="preserve">3. Challenges Facing Bankers in Rio de Janeiro</w:t>
      </w:r>
    </w:p>
    <w:p>
      <w:pPr>
        <w:pStyle w:val="FirstParagraph"/>
      </w:pPr>
      <w:r>
        <w:rPr>
          <w:bCs/>
          <w:b/>
        </w:rPr>
        <w:t xml:space="preserve">3.1 Economic Instability</w:t>
      </w:r>
      <w:r>
        <w:br/>
      </w:r>
      <w:r>
        <w:t xml:space="preserve">Brazil’s macroeconomic fluctuations—such as inflation rates exceeding 10% in 2023 (</w:t>
      </w:r>
      <w:hyperlink r:id="rId25">
        <w:r>
          <w:rPr>
            <w:rStyle w:val="Hyperlink"/>
          </w:rPr>
          <w:t xml:space="preserve">Central Bank of Brazil, 2023</w:t>
        </w:r>
      </w:hyperlink>
      <w:r>
        <w:t xml:space="preserve">)—create uncertainty for bankers. In Rio, where the informal economy accounts for ~55% of GDP (</w:t>
      </w:r>
      <w:hyperlink r:id="rId26">
        <w:r>
          <w:rPr>
            <w:rStyle w:val="Hyperlink"/>
          </w:rPr>
          <w:t xml:space="preserve">FGV, 2023</w:t>
        </w:r>
      </w:hyperlink>
      <w:r>
        <w:t xml:space="preserve">), predicting loan repayment risks is complex. Bankers must balance profitability with ethical lending practices to avoid exacerbating inequality.</w:t>
      </w:r>
    </w:p>
    <w:p>
      <w:pPr>
        <w:pStyle w:val="BodyText"/>
      </w:pPr>
      <w:r>
        <w:rPr>
          <w:bCs/>
          <w:b/>
        </w:rPr>
        <w:t xml:space="preserve">3.2 Regulatory Hurdles</w:t>
      </w:r>
      <w:r>
        <w:br/>
      </w:r>
      <w:r>
        <w:t xml:space="preserve">Brazil’s regulatory framework, particularly the</w:t>
      </w:r>
      <w:r>
        <w:t xml:space="preserve"> </w:t>
      </w:r>
      <w:r>
        <w:rPr>
          <w:iCs/>
          <w:i/>
        </w:rPr>
        <w:t xml:space="preserve">Ley de Inclusão Financeira</w:t>
      </w:r>
      <w:r>
        <w:t xml:space="preserve"> </w:t>
      </w:r>
      <w:r>
        <w:t xml:space="preserve">(Financial Inclusion Law), mandates that banks prioritize underserved communities. Rio’s bankers face challenges in implementing these policies due to limited infrastructure in peripheral areas and resistance from traditional financial systems.</w:t>
      </w:r>
    </w:p>
    <w:p>
      <w:pPr>
        <w:pStyle w:val="BodyText"/>
      </w:pPr>
      <w:r>
        <w:rPr>
          <w:bCs/>
          <w:b/>
        </w:rPr>
        <w:t xml:space="preserve">3.3 Social Responsibility</w:t>
      </w:r>
      <w:r>
        <w:br/>
      </w:r>
      <w:r>
        <w:t xml:space="preserve">Rio de Janeiro’s reputation as a city of stark contrasts—luxurious beaches versus favelas with inadequate services—compels bankers to act as social catalysts. Initiatives like Banco do Brasil’s “Cidadão Inclusivo” program, which offers free financial education in low-income neighborhoods, exemplify this dual role.</w:t>
      </w:r>
    </w:p>
    <w:bookmarkEnd w:id="27"/>
    <w:bookmarkStart w:id="28" w:name="case-studies-bankers-in-action"/>
    <w:p>
      <w:pPr>
        <w:pStyle w:val="Heading2"/>
      </w:pPr>
      <w:r>
        <w:t xml:space="preserve">4. Case Studies: Bankers in Action</w:t>
      </w:r>
    </w:p>
    <w:p>
      <w:pPr>
        <w:pStyle w:val="FirstParagraph"/>
      </w:pPr>
      <w:r>
        <w:rPr>
          <w:bCs/>
          <w:b/>
        </w:rPr>
        <w:t xml:space="preserve">Case Study 1: Itaú Unibanco and Community Banking</w:t>
      </w:r>
      <w:r>
        <w:br/>
      </w:r>
      <w:r>
        <w:t xml:space="preserve">Rio’s largest private bank,</w:t>
      </w:r>
      <w:r>
        <w:t xml:space="preserve"> </w:t>
      </w:r>
      <w:r>
        <w:rPr>
          <w:iCs/>
          <w:i/>
        </w:rPr>
        <w:t xml:space="preserve">Itaú Unibanco</w:t>
      </w:r>
      <w:r>
        <w:t xml:space="preserve">, has pioneered mobile banking solutions to reach residents of favelas. By deploying digital platforms and partnering with local cooperatives, Itaú has extended credit to over 100,000 small businesses in the region since 2021.</w:t>
      </w:r>
    </w:p>
    <w:p>
      <w:pPr>
        <w:pStyle w:val="BodyText"/>
      </w:pPr>
      <w:r>
        <w:rPr>
          <w:bCs/>
          <w:b/>
        </w:rPr>
        <w:t xml:space="preserve">Case Study 2: Caixa Econômica Federal and Public Projects</w:t>
      </w:r>
      <w:r>
        <w:br/>
      </w:r>
      <w:r>
        <w:t xml:space="preserve">The Brazilian state-owned bank</w:t>
      </w:r>
      <w:r>
        <w:t xml:space="preserve"> </w:t>
      </w:r>
      <w:r>
        <w:rPr>
          <w:iCs/>
          <w:i/>
        </w:rPr>
        <w:t xml:space="preserve">Caixa Econômica Federal</w:t>
      </w:r>
      <w:r>
        <w:t xml:space="preserve"> </w:t>
      </w:r>
      <w:r>
        <w:t xml:space="preserve">has prioritized infrastructure projects in Rio, such as funding the revitalization of the Port of Rio. These efforts align with national goals to stimulate regional economies while creating jobs.</w:t>
      </w:r>
    </w:p>
    <w:bookmarkEnd w:id="28"/>
    <w:bookmarkStart w:id="29" w:name="X1b2eb7a162b9b9da7bfdb3a15d51a3c8a5ae1c1"/>
    <w:p>
      <w:pPr>
        <w:pStyle w:val="Heading2"/>
      </w:pPr>
      <w:r>
        <w:t xml:space="preserve">5. Comparative Analysis: Bankers in Other Brazilian Cities</w:t>
      </w:r>
    </w:p>
    <w:p>
      <w:pPr>
        <w:pStyle w:val="FirstParagraph"/>
      </w:pPr>
      <w:r>
        <w:t xml:space="preserve">Rio de Janeiro’s bankers differ from those in São Paulo or Brasília, where financial systems are more centralized and technologically advanced. In Rio, the emphasis on community engagement and adaptability to informal markets sets a distinct precedent for banking practices across Brazil.</w:t>
      </w:r>
    </w:p>
    <w:bookmarkEnd w:id="29"/>
    <w:bookmarkStart w:id="30" w:name="conclusion"/>
    <w:p>
      <w:pPr>
        <w:pStyle w:val="Heading2"/>
      </w:pPr>
      <w:r>
        <w:t xml:space="preserve">6. Conclusion</w:t>
      </w:r>
    </w:p>
    <w:p>
      <w:pPr>
        <w:pStyle w:val="FirstParagraph"/>
      </w:pPr>
      <w:r>
        <w:t xml:space="preserve">This thesis underscores the multifaceted role of</w:t>
      </w:r>
      <w:r>
        <w:t xml:space="preserve"> </w:t>
      </w:r>
      <w:r>
        <w:rPr>
          <w:iCs/>
          <w:i/>
        </w:rPr>
        <w:t xml:space="preserve">Bankers</w:t>
      </w:r>
      <w:r>
        <w:t xml:space="preserve"> </w:t>
      </w:r>
      <w:r>
        <w:t xml:space="preserve">in</w:t>
      </w:r>
      <w:r>
        <w:t xml:space="preserve"> </w:t>
      </w:r>
      <w:r>
        <w:rPr>
          <w:iCs/>
          <w:i/>
        </w:rPr>
        <w:t xml:space="preserve">Brazil Rio de Janeiro</w:t>
      </w:r>
      <w:r>
        <w:t xml:space="preserve">. Beyond managing financial transactions, they are pivotal in addressing socio-economic disparities and fostering inclusive growth. As Rio continues to evolve as a global city, the adaptability and ethical considerations of its bankers will remain central to its economic future. Future research could explore the impact of blockchain technology on financial inclusion in the region or compare Rio’s banking strategies with those in other emerging economies.</w:t>
      </w:r>
    </w:p>
    <w:bookmarkEnd w:id="30"/>
    <w:bookmarkStart w:id="31" w:name="references"/>
    <w:p>
      <w:pPr>
        <w:pStyle w:val="Heading2"/>
      </w:pPr>
      <w:r>
        <w:t xml:space="preserve">References</w:t>
      </w:r>
    </w:p>
    <w:p>
      <w:pPr>
        <w:pStyle w:val="FirstParagraph"/>
      </w:pPr>
      <w:r>
        <w:rPr>
          <w:iCs/>
          <w:i/>
        </w:rPr>
        <w:t xml:space="preserve">Banco Central do Brasil (BCB). (2023). Inflation Report. Retrieved from https://www.bcb.gov.br</w:t>
      </w:r>
      <w:r>
        <w:br/>
      </w:r>
      <w:r>
        <w:rPr>
          <w:iCs/>
          <w:i/>
        </w:rPr>
        <w:t xml:space="preserve">Instituto Brasileiro de Geografia e Estatística (IBGE). (2023). Socioeconomic Indicators. Retrieved from https://www.ibge.gov.br</w:t>
      </w:r>
      <w:r>
        <w:br/>
      </w:r>
      <w:r>
        <w:rPr>
          <w:iCs/>
          <w:i/>
        </w:rPr>
        <w:t xml:space="preserve">Secretaria Municipal de Desenvolvimento Urbano e Habitação (SEMDUR). (2023). Tourism Statistics. Retrieved from https://www.semdur.gov.br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bcb.gov.br" TargetMode="External" /><Relationship Type="http://schemas.openxmlformats.org/officeDocument/2006/relationships/hyperlink" Id="rId26" Target="https://www.fgv.br" TargetMode="External" /><Relationship Type="http://schemas.openxmlformats.org/officeDocument/2006/relationships/hyperlink" Id="rId22" Target="https://www.ibge.gov.br" TargetMode="External" /><Relationship Type="http://schemas.openxmlformats.org/officeDocument/2006/relationships/hyperlink" Id="rId23" Target="https://www.semdur.gov.br" TargetMode="External" /></Relationships>
</file>

<file path=word/_rels/footnotes.xml.rels><?xml version="1.0" encoding="UTF-8"?><Relationships xmlns="http://schemas.openxmlformats.org/package/2006/relationships"><Relationship Type="http://schemas.openxmlformats.org/officeDocument/2006/relationships/hyperlink" Id="rId25" Target="https://www.bcb.gov.br" TargetMode="External" /><Relationship Type="http://schemas.openxmlformats.org/officeDocument/2006/relationships/hyperlink" Id="rId26" Target="https://www.fgv.br" TargetMode="External" /><Relationship Type="http://schemas.openxmlformats.org/officeDocument/2006/relationships/hyperlink" Id="rId22" Target="https://www.ibge.gov.br" TargetMode="External" /><Relationship Type="http://schemas.openxmlformats.org/officeDocument/2006/relationships/hyperlink" Id="rId23" Target="https://www.semdur.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Brazil, Rio de Janeiro</dc:title>
  <dc:creator/>
  <dc:language>en</dc:language>
  <cp:keywords/>
  <dcterms:created xsi:type="dcterms:W3CDTF">2026-07-23T14:26:26Z</dcterms:created>
  <dcterms:modified xsi:type="dcterms:W3CDTF">2026-07-23T14:26:26Z</dcterms:modified>
</cp:coreProperties>
</file>

<file path=docProps/custom.xml><?xml version="1.0" encoding="utf-8"?>
<Properties xmlns="http://schemas.openxmlformats.org/officeDocument/2006/custom-properties" xmlns:vt="http://schemas.openxmlformats.org/officeDocument/2006/docPropsVTypes"/>
</file>