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575f4263ea11a30116275ea2e7914eacd860a41"/>
    <w:p>
      <w:pPr>
        <w:pStyle w:val="Heading1"/>
      </w:pPr>
      <w:r>
        <w:t xml:space="preserve">Undergraduate Thesis: The Role of a Banker in Kuwait, Kuwait City</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Kuwait City, the capital and economic heart of Kuwait. By examining historical and contemporary banking practices, regulatory frameworks, and socio-economic factors influencing the profession in this region, this study aims to highlight how bankers in Kuwait City contribute to national development, economic stability, and innovation. The research underscores the unique challenges and opportunities faced by bankers operating in a rapidly evolving Gulf economy.</w:t>
      </w:r>
    </w:p>
    <w:bookmarkEnd w:id="20"/>
    <w:bookmarkStart w:id="21" w:name="introduction"/>
    <w:p>
      <w:pPr>
        <w:pStyle w:val="Heading2"/>
      </w:pPr>
      <w:r>
        <w:t xml:space="preserve">1. Introduction</w:t>
      </w:r>
    </w:p>
    <w:p>
      <w:pPr>
        <w:pStyle w:val="FirstParagraph"/>
      </w:pPr>
      <w:r>
        <w:t xml:space="preserve">Kuwait City, as the financial hub of Kuwait, hosts one of the most stable and resilient banking systems in the Middle East. The role of a banker in this context extends beyond traditional functions like loan disbursement and savings management; it encompasses strategic decision-making, compliance with Islamic finance principles (Shariah), and adapting to global economic trends. This thesis investigates how bankers navigate these responsibilities while aligning with Kuwait’s vision for sustainable growth and diversification from oil dependency.</w:t>
      </w:r>
    </w:p>
    <w:bookmarkEnd w:id="21"/>
    <w:bookmarkStart w:id="22" w:name="X15eef1b20628796c475e4d79e87c2303e79e3f8"/>
    <w:p>
      <w:pPr>
        <w:pStyle w:val="Heading2"/>
      </w:pPr>
      <w:r>
        <w:t xml:space="preserve">2. Background: The Banking Landscape in Kuwait</w:t>
      </w:r>
    </w:p>
    <w:p>
      <w:pPr>
        <w:pStyle w:val="FirstParagraph"/>
      </w:pPr>
      <w:r>
        <w:t xml:space="preserve">Kuwait’s banking sector has evolved significantly since the 1950s, transitioning from a state-controlled system to a competitive market dominated by both conventional and Islamic banks. The Central Bank of Kuwait (CBK) and the Capital Market Authority (CMA) regulate this sector, ensuring adherence to international standards while preserving local economic priorities. Kuwait City’s strategic location, coupled with its oil wealth, has attracted regional and international financial institutions, creating a dynamic environment for bankers to innovate and lead.</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major banks in Kuwait City (e.g., National Bank of Kuwait [NBK], Al Ahli Bank, and Gulf International Bank) with interviews from banking professionals. Data is sourced from academic journals, CBK reports, and secondary literature to analyze the socio-economic factors shaping the role of a banker. The study also evaluates how global trends like digital banking and fintech disrupt traditional banking models in Kuwait.</w:t>
      </w:r>
    </w:p>
    <w:bookmarkEnd w:id="23"/>
    <w:bookmarkStart w:id="24" w:name="X681d8aec2ef0fe652c7f0ca1b9b8dc2c6d60d20"/>
    <w:p>
      <w:pPr>
        <w:pStyle w:val="Heading2"/>
      </w:pPr>
      <w:r>
        <w:t xml:space="preserve">4. Key Findings: The Banker’s Role in Kuwait City</w:t>
      </w:r>
    </w:p>
    <w:p>
      <w:pPr>
        <w:pStyle w:val="FirstParagraph"/>
      </w:pPr>
      <w:r>
        <w:rPr>
          <w:bCs/>
          <w:b/>
        </w:rPr>
        <w:t xml:space="preserve">4.1 Financial Stewardship and Economic Stability</w:t>
      </w:r>
      <w:r>
        <w:br/>
      </w:r>
      <w:r>
        <w:t xml:space="preserve">Bankers in Kuwait City play a critical role in maintaining economic stability by managing liquidity, credit risk, and foreign exchange reserves. Their decisions directly impact national projects such as the Kuwait Investment Authority’s (KIA) global investments and the development of infrastructure like the Mubarak Al-Kabir Port.</w:t>
      </w:r>
    </w:p>
    <w:p>
      <w:pPr>
        <w:pStyle w:val="BodyText"/>
      </w:pPr>
      <w:r>
        <w:rPr>
          <w:bCs/>
          <w:b/>
        </w:rPr>
        <w:t xml:space="preserve">4.2 Compliance with Islamic Finance Principles</w:t>
      </w:r>
      <w:r>
        <w:br/>
      </w:r>
      <w:r>
        <w:t xml:space="preserve">As a leader in Islamic banking, Kuwait City requires bankers to adhere to strict Shariah-compliant practices. This includes avoiding interest-based transactions and ensuring transparency in financial products, which has positioned the city as a global hub for ethical finance.</w:t>
      </w:r>
    </w:p>
    <w:p>
      <w:pPr>
        <w:pStyle w:val="BodyText"/>
      </w:pPr>
      <w:r>
        <w:rPr>
          <w:bCs/>
          <w:b/>
        </w:rPr>
        <w:t xml:space="preserve">4.3 Technological Adaptation and Innovation</w:t>
      </w:r>
      <w:r>
        <w:br/>
      </w:r>
      <w:r>
        <w:t xml:space="preserve">The rise of fintech startups and digital banking platforms in Kuwait City has challenged traditional bankers to adopt new technologies. For example, NBK’s mobile banking app and Al Ahli Bank’s AI-driven customer service systems demonstrate how bankers balance innovation with regulatory compliance.</w:t>
      </w:r>
    </w:p>
    <w:bookmarkEnd w:id="24"/>
    <w:bookmarkStart w:id="25" w:name="X3d4a2f5daf5e79db3d1d8f92893672be3aafc84"/>
    <w:p>
      <w:pPr>
        <w:pStyle w:val="Heading2"/>
      </w:pPr>
      <w:r>
        <w:t xml:space="preserve">5. Challenges Faced by Bankers in Kuwait City</w:t>
      </w:r>
    </w:p>
    <w:p>
      <w:pPr>
        <w:pStyle w:val="FirstParagraph"/>
      </w:pPr>
      <w:r>
        <w:rPr>
          <w:bCs/>
          <w:b/>
        </w:rPr>
        <w:t xml:space="preserve">5.1 Economic Diversification Pressures</w:t>
      </w:r>
      <w:r>
        <w:br/>
      </w:r>
      <w:r>
        <w:t xml:space="preserve">Kuwait’s reliance on oil revenue has driven the government to diversify its economy. Bankers must now support sectors like tourism, real estate, and education while managing risks associated with fluctuating oil prices.</w:t>
      </w:r>
    </w:p>
    <w:p>
      <w:pPr>
        <w:pStyle w:val="BodyText"/>
      </w:pPr>
      <w:r>
        <w:rPr>
          <w:bCs/>
          <w:b/>
        </w:rPr>
        <w:t xml:space="preserve">5.2 Global Competition and Talent Retention</w:t>
      </w:r>
      <w:r>
        <w:br/>
      </w:r>
      <w:r>
        <w:t xml:space="preserve">The influx of international banks into Kuwait City has intensified competition for skilled professionals. Local bankers face the challenge of retaining talent by offering competitive salaries, training programs, and opportunities for global exposure.</w:t>
      </w:r>
    </w:p>
    <w:bookmarkEnd w:id="25"/>
    <w:bookmarkStart w:id="26" w:name="X5d69210fd8a5942e4441dbf5dedc6e3e22730b0"/>
    <w:p>
      <w:pPr>
        <w:pStyle w:val="Heading2"/>
      </w:pPr>
      <w:r>
        <w:t xml:space="preserve">6. Discussion: Implications for Undergraduate Studies</w:t>
      </w:r>
    </w:p>
    <w:p>
      <w:pPr>
        <w:pStyle w:val="FirstParagraph"/>
      </w:pPr>
      <w:r>
        <w:t xml:space="preserve">This thesis highlights the importance of understanding banking as a profession not only in theoretical terms but also through practical insights specific to Kuwait City. For undergraduate students studying economics, finance, or business administration, this research underscores the need to grasp regional dynamics—such as Kuwait’s unique regulatory environment and cultural values—that shape banking practices. It also emphasizes interdisciplinary learning, combining knowledge of Islamic finance with modern financial technologies.</w:t>
      </w:r>
    </w:p>
    <w:bookmarkEnd w:id="26"/>
    <w:bookmarkStart w:id="27" w:name="conclusion"/>
    <w:p>
      <w:pPr>
        <w:pStyle w:val="Heading2"/>
      </w:pPr>
      <w:r>
        <w:t xml:space="preserve">7. Conclusion</w:t>
      </w:r>
    </w:p>
    <w:p>
      <w:pPr>
        <w:pStyle w:val="FirstParagraph"/>
      </w:pPr>
      <w:r>
        <w:t xml:space="preserve">In conclusion, the role of a banker in Kuwait City is integral to the nation’s economic resilience and global standing. As an Undergraduate Thesis, this study provides a framework for analyzing how bankers contribute to both local and international financial systems while navigating challenges like diversification, innovation, and compliance. Future research could explore the impact of climate change on banking operations or the role of women in leadership positions within Kuwait’s financial sector.</w:t>
      </w:r>
    </w:p>
    <w:bookmarkEnd w:id="27"/>
    <w:bookmarkStart w:id="28" w:name="references"/>
    <w:p>
      <w:pPr>
        <w:pStyle w:val="Heading2"/>
      </w:pPr>
      <w:r>
        <w:t xml:space="preserve">References</w:t>
      </w:r>
    </w:p>
    <w:p>
      <w:pPr>
        <w:numPr>
          <w:ilvl w:val="0"/>
          <w:numId w:val="1001"/>
        </w:numPr>
        <w:pStyle w:val="Compact"/>
      </w:pPr>
      <w:r>
        <w:t xml:space="preserve">Central Bank of Kuwait (CBK). (2023). Annual Report 2023.</w:t>
      </w:r>
    </w:p>
    <w:p>
      <w:pPr>
        <w:numPr>
          <w:ilvl w:val="0"/>
          <w:numId w:val="1001"/>
        </w:numPr>
        <w:pStyle w:val="Compact"/>
      </w:pPr>
      <w:r>
        <w:t xml:space="preserve">Kuwait Investment Authority (KIA). (2024). Strategic Plan for Economic Diversification.</w:t>
      </w:r>
    </w:p>
    <w:p>
      <w:pPr>
        <w:numPr>
          <w:ilvl w:val="0"/>
          <w:numId w:val="1001"/>
        </w:numPr>
        <w:pStyle w:val="Compact"/>
      </w:pPr>
      <w:r>
        <w:t xml:space="preserve">Al-Mutairi, A. &amp; Al-Hassan, M. (2019). "Islamic Banking in Kuwait: Challenges and Opportunities." Journal of Gulf Studies.</w:t>
      </w:r>
    </w:p>
    <w:p>
      <w:pPr>
        <w:pStyle w:val="FirstParagraph"/>
      </w:pPr>
      <w:r>
        <w:rPr>
          <w:bCs/>
          <w:b/>
        </w:rPr>
        <w:t xml:space="preserve">Note:</w:t>
      </w:r>
      <w:r>
        <w:t xml:space="preserve"> </w:t>
      </w:r>
      <w:r>
        <w:t xml:space="preserve">This document is tailored for Undergraduate Thesis purposes, focusing on the unique context of a Banker in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Kuwait Kuwait City</dc:title>
  <dc:creator/>
  <dc:language>en</dc:language>
  <cp:keywords/>
  <dcterms:created xsi:type="dcterms:W3CDTF">2026-07-21T14:40:27Z</dcterms:created>
  <dcterms:modified xsi:type="dcterms:W3CDTF">2026-07-21T14:40:27Z</dcterms:modified>
</cp:coreProperties>
</file>

<file path=docProps/custom.xml><?xml version="1.0" encoding="utf-8"?>
<Properties xmlns="http://schemas.openxmlformats.org/officeDocument/2006/custom-properties" xmlns:vt="http://schemas.openxmlformats.org/officeDocument/2006/docPropsVTypes"/>
</file>