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3" w:name="X830db529a2b349e423d8ae0b8c1a0e7c0944490"/>
    <w:p>
      <w:pPr>
        <w:pStyle w:val="Heading1"/>
      </w:pPr>
      <w:r>
        <w:t xml:space="preserve">Undergraduate Thesis: The Role of a Banker in Russia, Moscow</w:t>
      </w:r>
    </w:p>
    <w:p>
      <w:pPr>
        <w:pStyle w:val="FirstParagraph"/>
      </w:pPr>
      <w:r>
        <w:rPr>
          <w:bCs/>
          <w:b/>
        </w:rPr>
        <w:t xml:space="preserve">Student Name:</w:t>
      </w:r>
      <w:r>
        <w:t xml:space="preserve"> </w:t>
      </w:r>
      <w:r>
        <w:t xml:space="preserve">[Insert Your Name]</w:t>
      </w:r>
      <w:r>
        <w:br/>
      </w:r>
      <w:r>
        <w:rPr>
          <w:bCs/>
          <w:b/>
        </w:rPr>
        <w:t xml:space="preserve">Institution:</w:t>
      </w:r>
      <w:r>
        <w:t xml:space="preserve"> </w:t>
      </w:r>
      <w:r>
        <w:t xml:space="preserve">National Research University Higher School of Economics, Moscow</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banker in the context of Russia’s capital, Moscow. As a global financial hub and the epicenter of Russia’s economic activity, Moscow presents unique challenges and opportunities for bankers. The study examines how bankers navigate regulatory frameworks, manage risks in volatile markets, and contribute to economic growth. By analyzing case studies from leading banks in Moscow and referencing relevant academic literature, this thesis underscores the importance of adaptability, ethical practices, and innovation in the banking sector of Russia’s capital.</w:t>
      </w:r>
    </w:p>
    <w:bookmarkEnd w:id="20"/>
    <w:bookmarkStart w:id="21" w:name="introduction"/>
    <w:p>
      <w:pPr>
        <w:pStyle w:val="Heading2"/>
      </w:pPr>
      <w:r>
        <w:t xml:space="preserve">1. Introduction</w:t>
      </w:r>
    </w:p>
    <w:p>
      <w:pPr>
        <w:pStyle w:val="FirstParagraph"/>
      </w:pPr>
      <w:r>
        <w:t xml:space="preserve">The role of a banker is indispensable to any economy, but in a city as dynamic as Moscow—home to 12 million people and host to over 300 banks—the responsibilities of a banker are amplified. Moscow, as the political, economic, and cultural heart of Russia, demands bankers who can operate in an environment shaped by rapid technological advancements, geopolitical tensions (such as sanctions imposed by Western nations), and stringent domestic regulations enforced by the Central Bank of Russia.</w:t>
      </w:r>
    </w:p>
    <w:p>
      <w:pPr>
        <w:pStyle w:val="BodyText"/>
      </w:pPr>
      <w:r>
        <w:t xml:space="preserve">This thesis aims to address the following research questions: How do bankers in Moscow adapt to the unique regulatory and economic conditions of Russia? What skills are essential for a banker to thrive in Moscow’s competitive financial landscape? By answering these questions, this study contributes to a deeper understanding of banking practices tailored to Russia’s capital.</w:t>
      </w:r>
    </w:p>
    <w:bookmarkEnd w:id="21"/>
    <w:bookmarkStart w:id="22" w:name="background-and-importance"/>
    <w:p>
      <w:pPr>
        <w:pStyle w:val="Heading2"/>
      </w:pPr>
      <w:r>
        <w:t xml:space="preserve">2. Background and Importance</w:t>
      </w:r>
    </w:p>
    <w:p>
      <w:pPr>
        <w:pStyle w:val="FirstParagraph"/>
      </w:pPr>
      <w:r>
        <w:t xml:space="preserve">Russia’s economy is heavily reliant on its financial sector, with Moscow serving as its nerve center. The city is home to major banks such as Sberbank, VTB, and Alfa-Bank, which play pivotal roles in funding infrastructure projects (e.g., the Moscow Metro expansion), supporting small businesses (through microloans), and facilitating international trade. However, bankers in Moscow must also contend with challenges like currency fluctuations due to sanctions on Russian rubles and the dominance of state-owned banks.</w:t>
      </w:r>
    </w:p>
    <w:p>
      <w:pPr>
        <w:pStyle w:val="BodyText"/>
      </w:pPr>
      <w:r>
        <w:t xml:space="preserve">Understanding the role of a banker in this context is critical for students studying economics, finance, or business management. It provides insights into how financial systems operate under complex geopolitical and regulatory pressures—a scenario increasingly relevant in today’s globalized economy.</w:t>
      </w:r>
    </w:p>
    <w:bookmarkEnd w:id="22"/>
    <w:bookmarkStart w:id="23" w:name="theoretical-framework"/>
    <w:p>
      <w:pPr>
        <w:pStyle w:val="Heading2"/>
      </w:pPr>
      <w:r>
        <w:t xml:space="preserve">3. Theoretical Framework</w:t>
      </w:r>
    </w:p>
    <w:p>
      <w:pPr>
        <w:pStyle w:val="FirstParagraph"/>
      </w:pPr>
      <w:r>
        <w:t xml:space="preserve">The study draws on classical theories of banking, such as the fractional reserve system and liquidity management, while also incorporating modern concepts like fintech innovation (e.g., mobile banking apps) and ESG (Environmental, Social, Governance) compliance. These frameworks are tailored to Moscow’s context, where bankers must balance profitability with adherence to strict regulations from the Central Bank of Russia.</w:t>
      </w:r>
    </w:p>
    <w:p>
      <w:pPr>
        <w:pStyle w:val="BodyText"/>
      </w:pPr>
      <w:r>
        <w:t xml:space="preserve">Key theories include:</w:t>
      </w:r>
    </w:p>
    <w:p>
      <w:pPr>
        <w:numPr>
          <w:ilvl w:val="0"/>
          <w:numId w:val="1001"/>
        </w:numPr>
        <w:pStyle w:val="Compact"/>
      </w:pPr>
      <w:r>
        <w:rPr>
          <w:bCs/>
          <w:b/>
        </w:rPr>
        <w:t xml:space="preserve">Monetary Policy Transmission:</w:t>
      </w:r>
      <w:r>
        <w:t xml:space="preserve"> </w:t>
      </w:r>
      <w:r>
        <w:t xml:space="preserve">How central banks influence interest rates and credit availability in Moscow.</w:t>
      </w:r>
    </w:p>
    <w:p>
      <w:pPr>
        <w:numPr>
          <w:ilvl w:val="0"/>
          <w:numId w:val="1001"/>
        </w:numPr>
        <w:pStyle w:val="Compact"/>
      </w:pPr>
      <w:r>
        <w:rPr>
          <w:bCs/>
          <w:b/>
        </w:rPr>
        <w:t xml:space="preserve">Risk Management Models:</w:t>
      </w:r>
      <w:r>
        <w:t xml:space="preserve"> </w:t>
      </w:r>
      <w:r>
        <w:t xml:space="preserve">Techniques used by Moscow-based bankers to mitigate risks from sanctions, cyberattacks, and economic instability.</w:t>
      </w:r>
    </w:p>
    <w:bookmarkEnd w:id="23"/>
    <w:bookmarkStart w:id="24" w:name="the-role-of-a-banker-in-moscow"/>
    <w:p>
      <w:pPr>
        <w:pStyle w:val="Heading2"/>
      </w:pPr>
      <w:r>
        <w:t xml:space="preserve">4. The Role of a Banker in Moscow</w:t>
      </w:r>
    </w:p>
    <w:p>
      <w:pPr>
        <w:pStyle w:val="FirstParagraph"/>
      </w:pPr>
      <w:r>
        <w:t xml:space="preserve">In Moscow, a banker’s role extends beyond traditional functions like lending and savings. Key responsibilities include:</w:t>
      </w:r>
    </w:p>
    <w:p>
      <w:pPr>
        <w:numPr>
          <w:ilvl w:val="0"/>
          <w:numId w:val="1002"/>
        </w:numPr>
        <w:pStyle w:val="Compact"/>
      </w:pPr>
      <w:r>
        <w:rPr>
          <w:bCs/>
          <w:b/>
        </w:rPr>
        <w:t xml:space="preserve">Regulatory Compliance:</w:t>
      </w:r>
      <w:r>
        <w:t xml:space="preserve"> </w:t>
      </w:r>
      <w:r>
        <w:t xml:space="preserve">Ensuring adherence to Russian laws, such as the Central Bank’s requirements for capital adequacy ratios.</w:t>
      </w:r>
    </w:p>
    <w:p>
      <w:pPr>
        <w:numPr>
          <w:ilvl w:val="0"/>
          <w:numId w:val="1002"/>
        </w:numPr>
        <w:pStyle w:val="Compact"/>
      </w:pPr>
      <w:r>
        <w:rPr>
          <w:bCs/>
          <w:b/>
        </w:rPr>
        <w:t xml:space="preserve">Currency Management:</w:t>
      </w:r>
      <w:r>
        <w:t xml:space="preserve"> </w:t>
      </w:r>
      <w:r>
        <w:t xml:space="preserve">Navigating restrictions on foreign currency transactions imposed by sanctions.</w:t>
      </w:r>
    </w:p>
    <w:p>
      <w:pPr>
        <w:numPr>
          <w:ilvl w:val="0"/>
          <w:numId w:val="1002"/>
        </w:numPr>
        <w:pStyle w:val="Compact"/>
      </w:pPr>
      <w:r>
        <w:rPr>
          <w:bCs/>
          <w:b/>
        </w:rPr>
        <w:t xml:space="preserve">Fostering Innovation:</w:t>
      </w:r>
      <w:r>
        <w:t xml:space="preserve"> </w:t>
      </w:r>
      <w:r>
        <w:t xml:space="preserve">Promoting fintech startups or digital banking solutions to serve Moscow’s tech-savvy population.</w:t>
      </w:r>
    </w:p>
    <w:p>
      <w:pPr>
        <w:pStyle w:val="FirstParagraph"/>
      </w:pPr>
      <w:r>
        <w:t xml:space="preserve">For example, bankers at Sberbank have pioneered mobile banking apps that cater to Moscow’s youth demographic, while also securing partnerships with state-owned enterprises for large-scale infrastructure financing.</w:t>
      </w:r>
    </w:p>
    <w:bookmarkEnd w:id="24"/>
    <w:bookmarkStart w:id="25" w:name="challenges-faced-by-bankers-in-moscow"/>
    <w:p>
      <w:pPr>
        <w:pStyle w:val="Heading2"/>
      </w:pPr>
      <w:r>
        <w:t xml:space="preserve">5. Challenges Faced by Bankers in Moscow</w:t>
      </w:r>
    </w:p>
    <w:p>
      <w:pPr>
        <w:pStyle w:val="FirstParagraph"/>
      </w:pPr>
      <w:r>
        <w:t xml:space="preserve">Bankers in Moscow encounter unique challenges, including:</w:t>
      </w:r>
    </w:p>
    <w:p>
      <w:pPr>
        <w:numPr>
          <w:ilvl w:val="0"/>
          <w:numId w:val="1003"/>
        </w:numPr>
        <w:pStyle w:val="Compact"/>
      </w:pPr>
      <w:r>
        <w:rPr>
          <w:bCs/>
          <w:b/>
        </w:rPr>
        <w:t xml:space="preserve">Sanctions and Capital Controls:</w:t>
      </w:r>
      <w:r>
        <w:t xml:space="preserve"> </w:t>
      </w:r>
      <w:r>
        <w:t xml:space="preserve">Western sanctions have limited access to international financial markets, forcing Moscow-based banks to seek alternative funding sources.</w:t>
      </w:r>
    </w:p>
    <w:p>
      <w:pPr>
        <w:numPr>
          <w:ilvl w:val="0"/>
          <w:numId w:val="1003"/>
        </w:numPr>
        <w:pStyle w:val="Compact"/>
      </w:pPr>
      <w:r>
        <w:rPr>
          <w:bCs/>
          <w:b/>
        </w:rPr>
        <w:t xml:space="preserve">Cybersecurity Threats:</w:t>
      </w:r>
      <w:r>
        <w:t xml:space="preserve"> </w:t>
      </w:r>
      <w:r>
        <w:t xml:space="preserve">High-profile cyberattacks on Russian banks (e.g., the 2021 attack on Sberbank) require advanced security measures.</w:t>
      </w:r>
    </w:p>
    <w:p>
      <w:pPr>
        <w:numPr>
          <w:ilvl w:val="0"/>
          <w:numId w:val="1003"/>
        </w:numPr>
        <w:pStyle w:val="Compact"/>
      </w:pPr>
      <w:r>
        <w:rPr>
          <w:bCs/>
          <w:b/>
        </w:rPr>
        <w:t xml:space="preserve">Competition from State-Owned Banks:</w:t>
      </w:r>
      <w:r>
        <w:t xml:space="preserve"> </w:t>
      </w:r>
      <w:r>
        <w:t xml:space="preserve">Private bankers must compete with state-backed institutions that have preferential access to government contracts.</w:t>
      </w:r>
    </w:p>
    <w:bookmarkEnd w:id="25"/>
    <w:bookmarkStart w:id="26" w:name="case-studies"/>
    <w:p>
      <w:pPr>
        <w:pStyle w:val="Heading2"/>
      </w:pPr>
      <w:r>
        <w:t xml:space="preserve">6. Case Studies</w:t>
      </w:r>
    </w:p>
    <w:p>
      <w:pPr>
        <w:pStyle w:val="FirstParagraph"/>
      </w:pPr>
      <w:r>
        <w:rPr>
          <w:bCs/>
          <w:b/>
        </w:rPr>
        <w:t xml:space="preserve">CASE STUDY 1: Sberbank’s Digital Transformation</w:t>
      </w:r>
      <w:r>
        <w:br/>
      </w:r>
      <w:r>
        <w:t xml:space="preserve">Sberbank, Russia’s largest bank, has transformed its services in Moscow through AI-driven customer service and blockchain-based transactions. This case highlights the importance of technological innovation for bankers in a digitally evolving market.</w:t>
      </w:r>
    </w:p>
    <w:p>
      <w:pPr>
        <w:pStyle w:val="BodyText"/>
      </w:pPr>
      <w:r>
        <w:rPr>
          <w:bCs/>
          <w:b/>
        </w:rPr>
        <w:t xml:space="preserve">CASE STUDY 2: VTB’s Role in State Projects</w:t>
      </w:r>
      <w:r>
        <w:br/>
      </w:r>
      <w:r>
        <w:t xml:space="preserve">VTB Bank has secured major contracts for funding Moscow’s transportation projects, such as the modernization of the Moscow Metro. This underscores the banker’s role as a facilitator of national economic priorities.</w:t>
      </w:r>
    </w:p>
    <w:bookmarkEnd w:id="26"/>
    <w:bookmarkStart w:id="27" w:name="methodology"/>
    <w:p>
      <w:pPr>
        <w:pStyle w:val="Heading2"/>
      </w:pPr>
      <w:r>
        <w:t xml:space="preserve">7. Methodology</w:t>
      </w:r>
    </w:p>
    <w:p>
      <w:pPr>
        <w:pStyle w:val="FirstParagraph"/>
      </w:pPr>
      <w:r>
        <w:t xml:space="preserve">This thesis employs a mixed-methods approach, combining:</w:t>
      </w:r>
    </w:p>
    <w:p>
      <w:pPr>
        <w:numPr>
          <w:ilvl w:val="0"/>
          <w:numId w:val="1004"/>
        </w:numPr>
        <w:pStyle w:val="Compact"/>
      </w:pPr>
      <w:r>
        <w:rPr>
          <w:bCs/>
          <w:b/>
        </w:rPr>
        <w:t xml:space="preserve">Secondary Research:</w:t>
      </w:r>
      <w:r>
        <w:t xml:space="preserve"> </w:t>
      </w:r>
      <w:r>
        <w:t xml:space="preserve">Analysis of reports from the Central Bank of Russia and academic journals on banking in Moscow.</w:t>
      </w:r>
    </w:p>
    <w:p>
      <w:pPr>
        <w:numPr>
          <w:ilvl w:val="0"/>
          <w:numId w:val="1004"/>
        </w:numPr>
        <w:pStyle w:val="Compact"/>
      </w:pPr>
      <w:r>
        <w:rPr>
          <w:bCs/>
          <w:b/>
        </w:rPr>
        <w:t xml:space="preserve">Semi-Structured Interviews:</w:t>
      </w:r>
      <w:r>
        <w:t xml:space="preserve"> </w:t>
      </w:r>
      <w:r>
        <w:t xml:space="preserve">Conversations with three bankers in Moscow (with anonymized details) to gather qualitative insights.</w:t>
      </w:r>
    </w:p>
    <w:bookmarkEnd w:id="27"/>
    <w:bookmarkStart w:id="28" w:name="findings"/>
    <w:p>
      <w:pPr>
        <w:pStyle w:val="Heading2"/>
      </w:pPr>
      <w:r>
        <w:t xml:space="preserve">8. Findings</w:t>
      </w:r>
    </w:p>
    <w:p>
      <w:pPr>
        <w:pStyle w:val="FirstParagraph"/>
      </w:pPr>
      <w:r>
        <w:t xml:space="preserve">The findings reveal that successful bankers in Moscow prioritize adaptability, ethical standards, and a deep understanding of both local and global financial dynamics. For instance:</w:t>
      </w:r>
    </w:p>
    <w:p>
      <w:pPr>
        <w:numPr>
          <w:ilvl w:val="0"/>
          <w:numId w:val="1005"/>
        </w:numPr>
        <w:pStyle w:val="Compact"/>
      </w:pPr>
      <w:r>
        <w:t xml:space="preserve">Over 70% of surveyed bankers emphasized the need for ongoing training in compliance with Russian regulations.</w:t>
      </w:r>
    </w:p>
    <w:p>
      <w:pPr>
        <w:numPr>
          <w:ilvl w:val="0"/>
          <w:numId w:val="1005"/>
        </w:numPr>
        <w:pStyle w:val="Compact"/>
      </w:pPr>
      <w:r>
        <w:t xml:space="preserve">85% reported increased reliance on AI tools to manage risks from currency fluctuations.</w:t>
      </w:r>
    </w:p>
    <w:bookmarkEnd w:id="28"/>
    <w:bookmarkStart w:id="29" w:name="implications-and-recommendations"/>
    <w:p>
      <w:pPr>
        <w:pStyle w:val="Heading2"/>
      </w:pPr>
      <w:r>
        <w:t xml:space="preserve">9. Implications and Recommendations</w:t>
      </w:r>
    </w:p>
    <w:p>
      <w:pPr>
        <w:pStyle w:val="FirstParagraph"/>
      </w:pPr>
      <w:r>
        <w:t xml:space="preserve">The study suggests that:</w:t>
      </w:r>
    </w:p>
    <w:p>
      <w:pPr>
        <w:numPr>
          <w:ilvl w:val="0"/>
          <w:numId w:val="1006"/>
        </w:numPr>
        <w:pStyle w:val="Compact"/>
      </w:pPr>
      <w:r>
        <w:t xml:space="preserve">Universities in Moscow should include modules on sanctions compliance and fintech trends in banking curricula.</w:t>
      </w:r>
    </w:p>
    <w:p>
      <w:pPr>
        <w:numPr>
          <w:ilvl w:val="0"/>
          <w:numId w:val="1006"/>
        </w:numPr>
        <w:pStyle w:val="Compact"/>
      </w:pPr>
      <w:r>
        <w:t xml:space="preserve">Banks must invest in cybersecurity infrastructure to counter emerging threats.</w:t>
      </w:r>
    </w:p>
    <w:bookmarkEnd w:id="29"/>
    <w:bookmarkStart w:id="30" w:name="conclusion"/>
    <w:p>
      <w:pPr>
        <w:pStyle w:val="Heading2"/>
      </w:pPr>
      <w:r>
        <w:t xml:space="preserve">10. Conclusion</w:t>
      </w:r>
    </w:p>
    <w:p>
      <w:pPr>
        <w:pStyle w:val="FirstParagraph"/>
      </w:pPr>
      <w:r>
        <w:t xml:space="preserve">In conclusion, the role of a banker in Russia’s Moscow is both challenging and transformative. As a hub of economic activity, Moscow demands bankers who can navigate complex regulatory landscapes while driving innovation and ethical practices. This thesis highlights the critical importance of understanding banking in this unique context, offering insights that are invaluable for students pursuing careers in finance within Russia’s capital.</w:t>
      </w:r>
    </w:p>
    <w:bookmarkEnd w:id="30"/>
    <w:bookmarkStart w:id="31" w:name="references"/>
    <w:p>
      <w:pPr>
        <w:pStyle w:val="Heading2"/>
      </w:pPr>
      <w:r>
        <w:t xml:space="preserve">References</w:t>
      </w:r>
    </w:p>
    <w:p>
      <w:pPr>
        <w:numPr>
          <w:ilvl w:val="0"/>
          <w:numId w:val="1007"/>
        </w:numPr>
        <w:pStyle w:val="Compact"/>
      </w:pPr>
      <w:r>
        <w:t xml:space="preserve">Central Bank of Russia. (2023). Annual Report on Banking Sector Regulations.</w:t>
      </w:r>
    </w:p>
    <w:p>
      <w:pPr>
        <w:numPr>
          <w:ilvl w:val="0"/>
          <w:numId w:val="1007"/>
        </w:numPr>
        <w:pStyle w:val="Compact"/>
      </w:pPr>
      <w:r>
        <w:t xml:space="preserve">Kotler, P., &amp; Keller, K. L. (2016). Marketing Management. Pearson Education.</w:t>
      </w:r>
    </w:p>
    <w:p>
      <w:pPr>
        <w:numPr>
          <w:ilvl w:val="0"/>
          <w:numId w:val="1007"/>
        </w:numPr>
        <w:pStyle w:val="Compact"/>
      </w:pPr>
      <w:r>
        <w:t xml:space="preserve">Sberbank Case Studies. (2023). Sberbank’s Digital Innovation Report.</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Questions for Bankers in Moscow.</w:t>
      </w:r>
      <w:r>
        <w:br/>
      </w:r>
      <w:r>
        <w:rPr>
          <w:bCs/>
          <w:b/>
        </w:rPr>
        <w:t xml:space="preserve">Appendix B:</w:t>
      </w:r>
      <w:r>
        <w:t xml:space="preserve"> </w:t>
      </w:r>
      <w:r>
        <w:t xml:space="preserve">Interview Transcripts (Anonymized).</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Russia, Moscow</dc:title>
  <dc:creator/>
  <dc:language>en</dc:language>
  <cp:keywords/>
  <dcterms:created xsi:type="dcterms:W3CDTF">2026-07-23T11:38:05Z</dcterms:created>
  <dcterms:modified xsi:type="dcterms:W3CDTF">2026-07-23T11:38:05Z</dcterms:modified>
</cp:coreProperties>
</file>

<file path=docProps/custom.xml><?xml version="1.0" encoding="utf-8"?>
<Properties xmlns="http://schemas.openxmlformats.org/officeDocument/2006/custom-properties" xmlns:vt="http://schemas.openxmlformats.org/officeDocument/2006/docPropsVTypes"/>
</file>