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ec7eb3d06ce3528866ae3ad3ee36d2dafff717b"/>
    <w:p>
      <w:pPr>
        <w:pStyle w:val="Heading1"/>
      </w:pPr>
      <w:r>
        <w:t xml:space="preserve">Undergraduate Thesis: The Role of Bankers in Saudi Arabia Riyadh</w:t>
      </w:r>
    </w:p>
    <w:bookmarkStart w:id="20" w:name="abstract"/>
    <w:p>
      <w:pPr>
        <w:pStyle w:val="Heading2"/>
      </w:pPr>
      <w:r>
        <w:t xml:space="preserve">Abstract</w:t>
      </w:r>
    </w:p>
    <w:p>
      <w:pPr>
        <w:pStyle w:val="FirstParagraph"/>
      </w:pPr>
      <w:r>
        <w:t xml:space="preserve">This undergraduate thesis explores the multifaceted role of bankers in the financial ecosystem of Saudi Arabia, with a specific focus on Riyadh, the capital city. As a cornerstone of Saudi Arabia’s economic transformation under Vision 2030, Riyadh has emerged as a hub for banking innovation and regional leadership. This study examines how bankers in Riyadh contribute to national financial stability, support economic diversification, and navigate challenges such as technological disruption and regulatory reforms. By analyzing the unique socio-economic context of Saudi Arabia and the strategic importance of Riyadh, this thesis highlights the critical responsibilities of bankers in driving sustainable growth while addressing emerging trends like digital banking and Islamic finance.</w:t>
      </w:r>
    </w:p>
    <w:bookmarkEnd w:id="20"/>
    <w:bookmarkStart w:id="21" w:name="introduction"/>
    <w:p>
      <w:pPr>
        <w:pStyle w:val="Heading2"/>
      </w:pPr>
      <w:r>
        <w:t xml:space="preserve">Introduction</w:t>
      </w:r>
    </w:p>
    <w:p>
      <w:pPr>
        <w:pStyle w:val="FirstParagraph"/>
      </w:pPr>
      <w:r>
        <w:t xml:space="preserve">Saudi Arabia’s economic landscape has undergone significant transformation in recent decades, driven by Vision 2030—a strategic initiative aimed at reducing oil dependency and fostering a vibrant private sector. At the heart of this vision lies the banking industry, which plays a pivotal role in channeling investments, managing risks, and promoting financial inclusion. Riyadh, as the political and economic capital of Saudi Arabia, hosts major national banks such as Al Rajhi Bank (Alrajhi) and National Commercial Bank (NCB), alongside international institutions. This thesis investigates the responsibilities of bankers in this dynamic environment, emphasizing their contributions to both national objectives and local development.</w:t>
      </w:r>
    </w:p>
    <w:bookmarkEnd w:id="21"/>
    <w:bookmarkStart w:id="22" w:name="X823dd90fabaf3ed2c18926ba76c4e8063e58fb4"/>
    <w:p>
      <w:pPr>
        <w:pStyle w:val="Heading2"/>
      </w:pPr>
      <w:r>
        <w:t xml:space="preserve">Bankers in the Context of Saudi Arabia’s Economic Vision</w:t>
      </w:r>
    </w:p>
    <w:p>
      <w:pPr>
        <w:pStyle w:val="FirstParagraph"/>
      </w:pPr>
      <w:r>
        <w:t xml:space="preserve">The role of bankers in Saudi Arabia has evolved from traditional custodians of savings to architects of economic policy. Under Vision 2030, the government has prioritized financial sector reforms, including improving banking services for small and medium enterprises (SMEs) and expanding digital infrastructure. Bankers in Riyadh are at the forefront of these efforts, leveraging their expertise to align institutional strategies with national goals. For instance, initiatives like "Saudi Vision 2030" have prompted banks to offer tailored financial products that support entrepreneurship and innovation, ensuring that Riyadh remains a beacon of economic progress.</w:t>
      </w:r>
    </w:p>
    <w:bookmarkEnd w:id="22"/>
    <w:bookmarkStart w:id="23" w:name="economic-and-social-context-of-riyadh"/>
    <w:p>
      <w:pPr>
        <w:pStyle w:val="Heading2"/>
      </w:pPr>
      <w:r>
        <w:t xml:space="preserve">Economic and Social Context of Riyadh</w:t>
      </w:r>
    </w:p>
    <w:p>
      <w:pPr>
        <w:pStyle w:val="FirstParagraph"/>
      </w:pPr>
      <w:r>
        <w:t xml:space="preserve">Riyadh’s unique position as the capital city positions it as a critical node in Saudi Arabia’s financial network. With a population exceeding 7 million and hosting major corporations, government agencies, and educational institutions, the city demands robust banking services to meet diverse needs. Bankers here are tasked with addressing challenges such as rising demand for Islamic finance products (which comply with Sharia law) and integrating fintech solutions to improve customer experience. Additionally, the influx of expatriate workers has necessitated multilingual services and culturally sensitive approaches to banking.</w:t>
      </w:r>
    </w:p>
    <w:bookmarkEnd w:id="23"/>
    <w:bookmarkStart w:id="24" w:name="X4fe1417d6b21394a22c3e15ff52a622f3731492"/>
    <w:p>
      <w:pPr>
        <w:pStyle w:val="Heading2"/>
      </w:pPr>
      <w:r>
        <w:t xml:space="preserve">The Role of Bankers in Riyadh’s Banking Sector Development</w:t>
      </w:r>
    </w:p>
    <w:p>
      <w:pPr>
        <w:pStyle w:val="FirstParagraph"/>
      </w:pPr>
      <w:r>
        <w:t xml:space="preserve">Bankers in Riyadh play a dual role as service providers and economic influencers. Their responsibilities include managing large-scale projects, ensuring compliance with Saudi Arabian Monetary Authority (SAMA) regulations, and fostering partnerships between banks and government agencies. For example, bankers have been instrumental in developing the "Saudi Stock Exchange" (Tadawul) to diversify investment opportunities beyond oil revenues. Furthermore, their expertise in risk management is vital for safeguarding Riyadh’s financial stability amid global economic fluctuations.</w:t>
      </w:r>
    </w:p>
    <w:bookmarkEnd w:id="24"/>
    <w:bookmarkStart w:id="25" w:name="challenges-faced-by-bankers-in-riyadh"/>
    <w:p>
      <w:pPr>
        <w:pStyle w:val="Heading2"/>
      </w:pPr>
      <w:r>
        <w:t xml:space="preserve">Challenges Faced by Bankers in Riyadh</w:t>
      </w:r>
    </w:p>
    <w:p>
      <w:pPr>
        <w:pStyle w:val="FirstParagraph"/>
      </w:pPr>
      <w:r>
        <w:t xml:space="preserve">Despite their critical role, bankers in Riyadh face several challenges. One major issue is the rapid pace of technological disruption, as fintech startups and digital banks (like "Tamara") compete for market share. Additionally, the need to balance traditional banking practices with modern innovations poses a dilemma for institutions. Bankers must also address cultural nuances, such as ensuring financial products align with Islamic principles while meeting international standards. Lastly, the evolving regulatory environment requires continuous adaptation to stay compliant with SAMA’s stringent policies.</w:t>
      </w:r>
    </w:p>
    <w:bookmarkEnd w:id="25"/>
    <w:bookmarkStart w:id="26" w:name="opportunities-for-bankers-in-riyadh"/>
    <w:p>
      <w:pPr>
        <w:pStyle w:val="Heading2"/>
      </w:pPr>
      <w:r>
        <w:t xml:space="preserve">Opportunities for Bankers in Riyadh</w:t>
      </w:r>
    </w:p>
    <w:p>
      <w:pPr>
        <w:pStyle w:val="FirstParagraph"/>
      </w:pPr>
      <w:r>
        <w:t xml:space="preserve">The challenges faced by bankers in Riyadh are matched by significant opportunities. The city’s focus on smart cities and digital transformation provides a platform for banks to adopt AI-driven services, blockchain technology, and mobile banking solutions. Moreover, the government’s push for financial inclusion has created demand for innovative products targeting underbanked communities. Bankers who embrace these trends can position themselves as leaders in Saudi Arabia’s evolving financial landscape.</w:t>
      </w:r>
    </w:p>
    <w:bookmarkEnd w:id="26"/>
    <w:bookmarkStart w:id="27" w:name="conclusion"/>
    <w:p>
      <w:pPr>
        <w:pStyle w:val="Heading2"/>
      </w:pPr>
      <w:r>
        <w:t xml:space="preserve">Conclusion</w:t>
      </w:r>
    </w:p>
    <w:p>
      <w:pPr>
        <w:pStyle w:val="FirstParagraph"/>
      </w:pPr>
      <w:r>
        <w:t xml:space="preserve">In conclusion, the role of bankers in Saudi Arabia Riyadh is indispensable to achieving both national economic goals and local development. As custodians of financial systems, they navigate complex challenges while seizing opportunities driven by Vision 2030 and technological advancements. This thesis underscores the importance of fostering a skilled banking workforce in Riyadh to ensure that Saudi Arabia’s financial sector remains resilient, inclusive, and globally competitive. Future research could explore the impact of generational shifts in leadership within Riyadh’s banking institutions or the role of gender diversity in driving innovation.</w:t>
      </w:r>
    </w:p>
    <w:bookmarkEnd w:id="27"/>
    <w:bookmarkStart w:id="29" w:name="references"/>
    <w:p>
      <w:pPr>
        <w:pStyle w:val="Heading2"/>
      </w:pPr>
      <w:r>
        <w:t xml:space="preserve">References</w:t>
      </w:r>
    </w:p>
    <w:p>
      <w:pPr>
        <w:pStyle w:val="FirstParagraph"/>
      </w:pPr>
      <w:hyperlink r:id="rId28">
        <w:r>
          <w:rPr>
            <w:rStyle w:val="Hyperlink"/>
          </w:rPr>
          <w:t xml:space="preserve">Saudi Arabian Monetary Authority (SAMA)</w:t>
        </w:r>
      </w:hyperlink>
      <w:r>
        <w:t xml:space="preserve">. (n.d.). Retrieved from https://www.sama.gov.sa/</w:t>
      </w:r>
    </w:p>
    <w:p>
      <w:pPr>
        <w:pStyle w:val="BodyText"/>
      </w:pPr>
      <w:r>
        <w:t xml:space="preserve">Al-Rashid, A. (2021). "Vision 2030 and the Future of Banking in Saudi Arabia."</w:t>
      </w:r>
      <w:r>
        <w:t xml:space="preserve"> </w:t>
      </w:r>
      <w:r>
        <w:rPr>
          <w:iCs/>
          <w:i/>
        </w:rPr>
        <w:t xml:space="preserve">Saudi Economic Review</w:t>
      </w:r>
      <w:r>
        <w:t xml:space="preserve">, 45(3), 112-130.</w:t>
      </w:r>
    </w:p>
    <w:p>
      <w:pPr>
        <w:pStyle w:val="BodyText"/>
      </w:pPr>
      <w:r>
        <w:t xml:space="preserve">Khan, M. (2020). "Digital Transformation in Islamic Banking: A Case Study of Riyadh."</w:t>
      </w:r>
      <w:r>
        <w:t xml:space="preserve"> </w:t>
      </w:r>
      <w:r>
        <w:rPr>
          <w:iCs/>
          <w:i/>
        </w:rPr>
        <w:t xml:space="preserve">Journal of Financial Innovation</w:t>
      </w:r>
      <w:r>
        <w:t xml:space="preserve">, 8(2),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sama.gov.sa/" TargetMode="External" /></Relationships>
</file>

<file path=word/_rels/footnotes.xml.rels><?xml version="1.0" encoding="UTF-8"?><Relationships xmlns="http://schemas.openxmlformats.org/package/2006/relationships"><Relationship Type="http://schemas.openxmlformats.org/officeDocument/2006/relationships/hyperlink" Id="rId28" Target="https://www.sama.gov.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Bankers in Saudi Arabia Riyadh</dc:title>
  <dc:creator/>
  <dc:language>en</dc:language>
  <cp:keywords/>
  <dcterms:created xsi:type="dcterms:W3CDTF">2026-07-21T15:23:22Z</dcterms:created>
  <dcterms:modified xsi:type="dcterms:W3CDTF">2026-07-21T15:23:22Z</dcterms:modified>
</cp:coreProperties>
</file>

<file path=docProps/custom.xml><?xml version="1.0" encoding="utf-8"?>
<Properties xmlns="http://schemas.openxmlformats.org/officeDocument/2006/custom-properties" xmlns:vt="http://schemas.openxmlformats.org/officeDocument/2006/docPropsVTypes"/>
</file>